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RStruktFG — Errichtung des Fonds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02.04.2022 (konsolidierte Textfassung, kein amtliches Inkrafttretensdatum)</w:t>
      </w:r>
    </w:p>
    <w:p>
      <w:r>
        <w:t xml:space="preserve">Die Bundesanstalt für Finanzdienstleistungsaufsicht (Anstalt) verwaltet das durch Artikel 3 des Gesetzes zur Restrukturierung und geordneten Abwicklung von Kreditinstituten, zur Errichtung eines Restrukturierungsfonds für Kreditinstitute und zur Verlängerung der Verjährungsfrist für aktienrechtliche Organhaftung (Restrukturierungsgesetz) vom 9. Dezember 2010 (BGBl. I S. 1900) errichtete Vermögen als Sondervermögen des Bundes im Sinne des Artikels 110 Absatz 1 des Grundgesetzes unter der Bezeichnung „Restrukturierungsfonds für Institute“ (Restrukturierungsfonds).</w:t>
      </w:r>
    </w:p>
    <w:p>
      <w:r>
        <w:rPr>
          <w:color w:val="555555"/>
          <w:sz w:val="17"/>
        </w:rPr>
        <w:t xml:space="preserve">Zitiervorschlag: § 1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