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Verwendet das Siedlungsunternehmen, das das Vorkaufsrecht nach diesem Gesetz ausgeübt hat, das Grundstück nicht binnen sechs Jahren nach Erwerb des Eigentums für Siedlungszwecke, so kann derjenige, dem ein im Grundbuch eingetragenes oder durch Vormerkung gesichertes Recht zustand, das nach § 5 erloschen ist, verlangen, daß ihm das Grundstück zu dem in dem früheren Kaufvertrag vereinbarten Entgelt, jedoch unter Berücksichtigung werterhöhender Aufwendungen, durch das Siedlungsunternehmen übereignet wird. Bestanden mehrere Rechte dieser Art, so steht der Anspruch demjenigen zu, dessen Recht den Vorrang hatte. Ist kein Berechtigter der genannten Art vorhanden, so kann der Käufer, in dessen Rechte das Siedlungsunternehmen in Ausübung seines Vorkaufsrechts eingetreten ist, die Übereignung zu dem in Satz 1 bezeichneten Entgelt verlangen. Die Übereignung kann nicht mehr verlangt werden, wenn sich das Siedlungsunternehmen einem anderen gegenüber zur Übereignung bindend verpflichtet hatte, bevor das Verlangen gestellt wurde.</w:t>
      </w:r>
    </w:p>
    <w:p>
      <w:r>
        <w:t xml:space="preserve">(2) Das Verlangen ist gegenüber dem Siedlungsunternehmen innerhalb eines Jahres nach Ablauf der in Absatz 1 bezeichneten Frist zu stellen.</w:t>
      </w:r>
    </w:p>
    <w:p>
      <w:r>
        <w:t xml:space="preserve">(3) Eine nach § 5 geleistete Entschädigung ist dem Siedlungsunternehmen zurückzuerstatten, soweit der Schaden durch die Übereignung des Grundstücks entfällt.</w:t>
      </w:r>
    </w:p>
    <w:p>
      <w:r>
        <w:rPr>
          <w:color w:val="555555"/>
          <w:sz w:val="17"/>
        </w:rPr>
        <w:t xml:space="preserve">Zitiervorschlag: § 9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