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RSiedlG</w:t>
      </w:r>
    </w:p>
    <w:p>
      <w:r>
        <w:rPr>
          <w:color w:val="555555"/>
          <w:sz w:val="18"/>
        </w:rPr>
        <w:t xml:space="preserve">Reichssiedlungsgesetz</w:t>
      </w:r>
    </w:p>
    <w:p>
      <w:r>
        <w:rPr>
          <w:color w:val="555555"/>
          <w:sz w:val="18"/>
        </w:rPr>
        <w:t xml:space="preserve">Stand: 10.06.2019 (konsolidierte Textfassung, kein amtliches Inkrafttretensdatum)</w:t>
      </w:r>
    </w:p>
    <w:p>
      <w:r>
        <w:t xml:space="preserve">(1) Das gemeinnützige Siedlungsunternehmen ist berechtigt, unbewirtschaftetes oder im Wege der dauernden Brennkultur oder zur Torfnutzung verwendetes Moorland oder anderes Ödland für Besiedlungszwecke im Enteignungsweg in Anspruch zu nehmen.</w:t>
      </w:r>
    </w:p>
    <w:p>
      <w:r>
        <w:t xml:space="preserve">(2) Als Entschädigung ist der kapitalisierte Reinertrag zu gewähren, den das Land im unverbesserten Zustand hat. Die Enteignungsbehörde kann dann eine höhere Entschädigung festsetzen, wenn besondere Verhältnisse dies als angemessen erscheinen lassen. ... Im übrigen bleibt die Regelung der Enteignung, einschließlich der Rechtsbehelfe gegen die Festsetzung der Entschädigung, den Bundesstaaten vorbehalten.</w:t>
      </w:r>
    </w:p>
    <w:p>
      <w:r>
        <w:rPr>
          <w:color w:val="555555"/>
          <w:sz w:val="17"/>
        </w:rPr>
        <w:t xml:space="preserve">Zitiervorschlag: § 3 RSiedlG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https://recht.nulegal.eu/gesetze/RSiedlG/3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