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RSiedlG</w:t>
      </w:r>
    </w:p>
    <w:p>
      <w:r>
        <w:rPr>
          <w:color w:val="555555"/>
          <w:sz w:val="18"/>
        </w:rPr>
        <w:t xml:space="preserve">Reichssiedlungsgesetz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durch landesrechtliche Regelung die Beschaffung von landwirtschaftlichem Siedlungslande bereits in ausreichender Weise gesichert ist, kann der Reichsarbeitsminister Ausnahmen von diesem Gesetze zulassen.</w:t>
      </w:r>
    </w:p>
    <w:p>
      <w:r>
        <w:rPr>
          <w:color w:val="555555"/>
          <w:sz w:val="17"/>
        </w:rPr>
        <w:t xml:space="preserve">Zitiervorschlag: § 28 RSiedlG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https://recht.nulegal.eu/gesetze/RSiedlG/28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