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RSiedlG</w:t>
      </w:r>
    </w:p>
    <w:p>
      <w:r>
        <w:rPr>
          <w:color w:val="555555"/>
          <w:sz w:val="18"/>
        </w:rPr>
        <w:t xml:space="preserve">Reichssiedlungsgesetz</w:t>
      </w:r>
    </w:p>
    <w:p>
      <w:r>
        <w:rPr>
          <w:color w:val="555555"/>
          <w:sz w:val="18"/>
        </w:rPr>
        <w:t xml:space="preserve">Stand: 10.06.2019 (konsolidierte Textfassung, kein amtliches Inkrafttretensdatum)</w:t>
      </w:r>
    </w:p>
    <w:p>
      <w:r>
        <w:t xml:space="preserve">Der Reichsarbeitsminister ist ermächtigt, soweit nichts anderes bestimmt ist, nähere Vorschriften, insbesondere zur Ausführung dieses Gesetzes, zu erlassen. Soweit er von dieser Befugnis keinen Gebrauch macht, können die Landeszentralbehörden die erforderlichen Vorschriften erlassen.</w:t>
      </w:r>
    </w:p>
    <w:p>
      <w:r>
        <w:rPr>
          <w:color w:val="555555"/>
          <w:sz w:val="17"/>
        </w:rPr>
        <w:t xml:space="preserve">Zitiervorschlag: § 26 RSiedlG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https://recht.nulegal.eu/gesetze/RSiedlG/26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RSiedlG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