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RSiedlG</w:t>
      </w:r>
    </w:p>
    <w:p>
      <w:r>
        <w:rPr>
          <w:color w:val="555555"/>
          <w:sz w:val="18"/>
        </w:rPr>
        <w:t xml:space="preserve">Reichssiedlungsgesetz</w:t>
      </w:r>
    </w:p>
    <w:p>
      <w:r>
        <w:rPr>
          <w:color w:val="555555"/>
          <w:sz w:val="18"/>
        </w:rPr>
        <w:t xml:space="preserve">Stand: 10.06.2019 (konsolidierte Textfassung, kein amtliches Inkrafttretensdatum)</w:t>
      </w:r>
    </w:p>
    <w:p>
      <w:r>
        <w:t xml:space="preserve">Sofern Mitglieder des Landlieferungsverbandes (§ 12 Abs. 1) oder einer mit den Aufgaben des Verbandes beauftragten landwirtschaftlichen Organisation außerordentliche Vermögensabgaben in besiedlungsfähigem Lande entrichten, kommt das zur Verfügung gestellte und vom Siedlungsunternehmen übernommene Land auf das vom Verband und an ihn zu liefernde Drittel (§ 13 Abs. 2) in Anrechnung.</w:t>
      </w:r>
    </w:p>
    <w:p>
      <w:r>
        <w:rPr>
          <w:color w:val="555555"/>
          <w:sz w:val="17"/>
        </w:rPr>
        <w:t xml:space="preserve">Zitiervorschlag: § 19 RSiedlG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https://recht.nulegal.eu/gesetze/RSiedlG/19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