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Das Siedlungsunternehmen ist verpflichtet, dem Landlieferungsverband die Grundstücke abzunehmen und ihm den von ihm zu entrichtenden Erwerbspreis zu zahlen,</w:t>
      </w:r>
    </w:p>
    <w:p>
      <w:pPr>
        <w:ind w:left="420"/>
      </w:pPr>
      <w:r>
        <w:t xml:space="preserve">1. wenn der Landlieferungsverband das Grundstück auf Verlangen des Siedlungsunternehmens durch Ausübung des Vorkaufsrechts erworben hat;</w:t>
      </w:r>
    </w:p>
    <w:p>
      <w:pPr>
        <w:ind w:left="420"/>
      </w:pPr>
      <w:r>
        <w:t xml:space="preserve">2. wenn das Siedlungsunternehmen sich sonst mit dem Erwerb und dem Erwerbspreis einverstanden erklärt hat;</w:t>
      </w:r>
    </w:p>
    <w:p>
      <w:pPr>
        <w:ind w:left="420"/>
      </w:pPr>
      <w:r>
        <w:t xml:space="preserve">3. wenn der Landlieferungsverband das Grundstück durch Enteignung erworben hat und das Enteignungsverfahren mit Zustimmung des Siedlungsunternehmens eingeleitet worden ist.</w:t>
      </w:r>
    </w:p>
    <w:p>
      <w:r>
        <w:t xml:space="preserve">(2) Der Reichsarbeitsminister bestimmt, inwieweit dem Erwerbspreis Kosten zugerechnet werden dürfen.</w:t>
      </w:r>
    </w:p>
    <w:p>
      <w:r>
        <w:t xml:space="preserve">(3) Aufwendungen des Landlieferungsverbandes, die nicht gemäß Absatz 2 dem von dem Siedlungsunternehmen zu zahlenden Preise zugerechnet werden, sollen durch Umlagen auf die Verbandsmitglieder aufgebracht werden. Den Umlagemaßstab bestimmt der Landlieferungsverband. Sind die Aufgaben des Landlieferungsverbandes einer anderen Stelle übertragen (§ 12 Abs. 2), so bestimmt die Landeszentralbehörde über die Deckung dieser Aufwendungen.</w:t>
      </w:r>
    </w:p>
    <w:p>
      <w:r>
        <w:rPr>
          <w:color w:val="555555"/>
          <w:sz w:val="17"/>
        </w:rPr>
        <w:t xml:space="preserve">Zitiervorschlag: § 18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