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Von den besiedlungsfähigen großen Gütern sollen die Landlieferungsverbände, namentlich auch mit Hilfe der Enteignung, in erster Linie erwerben: Güter, die während des Krieges von Personen erworben sind, welche die Landwirtschaft nicht im Hauptberuf betreiben oder betrieben haben; Güter, die im Laufe der letzten zwanzig Jahre, abgesehen von den Fällen des § 6 Abs. 2, durch entgeltliches Rechtsgeschäft mehrfach den Besitzer gewechselt haben; Güter, die besonders schlecht bewirtschaftet werden; Güter, deren Besitzer sich während des größeren Teiles des Jahres nicht auf der Begüterung aufhalten und sie nicht selbst bewirtschaften, sofern nicht berechtigte Gründe für die Abwesenheit des Besitzers oder dafür vorliegen, daß er die Bewirtschaftung nicht selbst ausführt; Güter, die zu Besitzungen von ungewöhnlich großem Umfang gehören. Auch sollen die Landlieferungsverbände vorzugsweise solche Teile der großen Güter, und zwar in sachgemäßer Abgrenzung und mit den dazugehörigen Gebäuden, erwerben, die früher selbständige Bauerngüter oder Landstellen waren und in den letzten dreißig Jahren vor dem Inkrafttreten dieses Gesetzes von Eigentümern der großen Güter aufgekauft worden sind.</w:t>
      </w:r>
    </w:p>
    <w:p>
      <w:r>
        <w:t xml:space="preserve">(2) Von dem Erwerb solcher Güter, die in wirtschaftlicher und sozialer Hinsicht vorbildlich wirken oder für die Entwicklung der Landwirtschaft von hervorragender Bedeutung sind, soll möglichst abgesehen werden.</w:t>
      </w:r>
    </w:p>
    <w:p>
      <w:r>
        <w:rPr>
          <w:color w:val="555555"/>
          <w:sz w:val="17"/>
        </w:rPr>
        <w:t xml:space="preserve">Zitiervorschlag: § 16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