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RSiedlG</w:t>
      </w:r>
    </w:p>
    <w:p>
      <w:r>
        <w:rPr>
          <w:color w:val="555555"/>
          <w:sz w:val="18"/>
        </w:rPr>
        <w:t xml:space="preserve">Reichssiedlungsgesetz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Landlieferungsverband hat anstelle des gemeinnützigen Siedlungsunternehmens (§ 1) das Vorkaufsrecht auf alle großen Güter seines Bezirkes. Er muß das Vorkaufsrecht auf Verlangen des gemeinnützigen Siedlungsunternehmens ausüben; die Ausübung des Vorkaufsrechts kann er dem gemeinnützigen Siedlungsunternehmen mit dessen Zustimmung allgemein oder für den einzelnen Fall übertragen.</w:t>
      </w:r>
    </w:p>
    <w:p>
      <w:r>
        <w:t xml:space="preserve">(2) Für das Vorkaufsrecht gelten die Vorschriften der §§ 5 bis 10 entsprechend.</w:t>
      </w:r>
    </w:p>
    <w:p>
      <w:r>
        <w:rPr>
          <w:color w:val="555555"/>
          <w:sz w:val="17"/>
        </w:rPr>
        <w:t xml:space="preserve">Zitiervorschlag: § 14 RSiedlG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https://recht.nulegal.eu/gesetze/RSiedlG/14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