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RSiedlG</w:t>
      </w:r>
    </w:p>
    <w:p>
      <w:r>
        <w:rPr>
          <w:color w:val="555555"/>
          <w:sz w:val="18"/>
        </w:rPr>
        <w:t xml:space="preserve">Reichssiedlungsgesetz</w:t>
      </w:r>
    </w:p>
    <w:p>
      <w:r>
        <w:rPr>
          <w:color w:val="555555"/>
          <w:sz w:val="18"/>
        </w:rPr>
        <w:t xml:space="preserve">Stand: 10.06.2019 (konsolidierte Textfassung, kein amtliches Inkrafttretensdatum)</w:t>
      </w:r>
    </w:p>
    <w:p>
      <w:r>
        <w:t xml:space="preserve">(1) Der Landlieferungsverband hat auf Verlangen des gemeinnützigen Siedlungsunternehmens zu Siedlungszwecken geeignetes Land aus dem Bestande der großen Güter (§ 12) zu einem angemessenen Preise zu beschaffen. Als angemessener Kaufpreis gilt der gemeine Wert, den das Land im Großbetriebe hat, ohne Rücksicht auf Wertsteigerungen, die auf außerordentliche Verhältnisse des Krieges zurückzuführen sind.</w:t>
      </w:r>
    </w:p>
    <w:p>
      <w:r>
        <w:t xml:space="preserve">(2) Die Verpflichtung des Landlieferungsverbandes ist erfüllt, sobald ein Drittel der durch die landwirtschaftliche Betriebszählung von 1907 festgestellten gesamten landwirtschaftlichen Nutzfläche der großen Güter (mit Einschluß der Domänen) für Siedlungszwecke bereitgestellt ist oder die landwirtschaftliche Nutzfläche dieser Güter nicht mehr als 10 vom Hundert der gesamten landwirtschaftlichen Nutzfläche des Ansiedlungsbezirks beträgt.</w:t>
      </w:r>
    </w:p>
    <w:p>
      <w:r>
        <w:t xml:space="preserve">(3) Nach Ermessen der Aufsichtsbehörde gilt als zur Siedlung bereitgestellt auch solches Land aus dem Besitzstand der großen Güter, das ohne Mitwirkung des Siedlungsunternehmens an Ansiedler veräußert oder mit dem Rechte des Kaufes zu einem von der Aufsichtsbehörde genehmigten Preise verpachtet ist.</w:t>
      </w:r>
    </w:p>
    <w:p>
      <w:r>
        <w:rPr>
          <w:color w:val="555555"/>
          <w:sz w:val="17"/>
        </w:rPr>
        <w:t xml:space="preserve">Zitiervorschlag: § 13 RSiedlG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https://recht.nulegal.eu/gesetze/RSiedlG/13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