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RSVProphylaxeV — Inkrafttreten</w:t>
      </w:r>
    </w:p>
    <w:p>
      <w:r>
        <w:rPr>
          <w:color w:val="555555"/>
          <w:sz w:val="18"/>
        </w:rPr>
        <w:t xml:space="preserve">RSV-Prophylaxeverordnung</w:t>
      </w:r>
    </w:p>
    <w:p>
      <w:r>
        <w:rPr>
          <w:color w:val="555555"/>
          <w:sz w:val="18"/>
        </w:rPr>
        <w:t xml:space="preserve">Stand: 14.09.2024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RSVProphylaxeV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https://recht.nulegal.eu/gesetze/RSVProphylaxeV/2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