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RSVProphylaxeV — Prophylaxe gegen Respiratorische Synzytial Viren</w:t>
      </w:r>
    </w:p>
    <w:p>
      <w:r>
        <w:rPr>
          <w:color w:val="555555"/>
          <w:sz w:val="18"/>
        </w:rPr>
        <w:t xml:space="preserve">RSV-Prophylaxeverordnung</w:t>
      </w:r>
    </w:p>
    <w:p>
      <w:r>
        <w:rPr>
          <w:color w:val="555555"/>
          <w:sz w:val="18"/>
        </w:rPr>
        <w:t xml:space="preserve">Stand: 14.09.2024 (konsolidierte Textfassung, kein amtliches Inkrafttretensdatum)</w:t>
      </w:r>
    </w:p>
    <w:p>
      <w:r>
        <w:t xml:space="preserve">(1) Versicherte, die das erste Lebensjahr noch nicht vollendet haben, haben Anspruch auf eine einmalige Versorgung mit Arzneimitteln, die den monoklonalen Antikörper Nirsevimab enthalten, zur Prophylaxe gegen Respiratorische Synzytial Viren.</w:t>
      </w:r>
    </w:p>
    <w:p>
      <w:r>
        <w:t xml:space="preserve">(2) Der Anspruch nach Absatz 1 umfasst nur die Versorgung mit Arzneimitteln, die durch die zuständige Bundesoberbehörde zugelassen sind oder für die von der Europäischen Union eine Genehmigung für das Inverkehrbringen nach Artikel 3 Absatz 1 oder Absatz 2 der Verordnung (EG) Nr. 726/2004 des Europäischen Parlaments und des Rates vom 31. März 2004 zur Festlegung der Verfahren der Union für die Genehmigung und Überwachung von Humanarzneimitteln und zur Errichtung einer Europäischen Arzneimittel-Agentur (ABl. L 136 vom 30.4.2004, S. 1), die zuletzt durch die Verordnung (EU) 2019/5 (ABl. L 4 vom 7.1.2019, S. 24) geändert worden ist, erteilt wurde.</w:t>
      </w:r>
    </w:p>
    <w:p>
      <w:r>
        <w:rPr>
          <w:color w:val="555555"/>
          <w:sz w:val="17"/>
        </w:rPr>
        <w:t xml:space="preserve">Zitiervorschlag: § 1 RSVProphylaxeV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https://recht.nulegal.eu/gesetze/RSVProphylaxeV/1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