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RSO (Bayern)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 Abs. 2 und 3, Art. 25 Abs. 3 Satz 1, Art. 30 Abs. 1 Satz 4, Art. 37 Abs. 3 Satz 3, Art. 44 Abs. 2 Satz 1, Art. 45 Abs. 2 Sätze 1 und 4, Art. 46 Abs. 4 Satz 3, Art. 49 Abs. 1 Sätze 2 und 3, Art. 50 Abs. 2 Satz 1, Art. 51 Abs. 3, Art. 52 Abs. 4, Art. 53 Abs. 4 Satz 2 und Abs. 6 Satz 1, Art. 54 Abs. 3 Satz 1, Art. 55 Abs. 1 Nr. 6, Art. 58 Abs. 1 Satz 3 und Abs. 6, Art. 62 Abs. 8 Satz 1 und Abs. 9, Art. 63 Abs. 6, Art. 65 Abs. 1 Satz 4, Art. 68, Art. 69 Abs. 7, Art. 84 Abs. 1 Satz 2, Art. 86 Abs. 15, Art. 89 und 128 Abs. 1 des Bayerischen Gesetzes über das Erziehungs- und Unterrichtswesen (BayEUG) in der Fassung der Bekanntmachung vom 31. Mai 2000 (GVBl S. 414, ber. S. 632, BayRS 2230-1-1-UK), zuletzt geändert durch Gesetz vom 26. Juli 2006 (GVBl S. 397),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