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RSO (Bayern) — Praktische Prüfung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praktische Prüfung in Wahlpflichtfächergruppe III in den Fächern Kunst, Werken sowie Ernährung und Gesundheit wird im letzten Drittel des Schuljahres durchgeführt; die Arbeitszeit beträgt jeweils 240 Minuten.</w:t>
      </w:r>
    </w:p>
    <w:p>
      <w:r>
        <w:t xml:space="preserve">(2) Die Aufgaben werden von der fachlich zuständigen Lehrkraft im Einvernehmen mit der oder dem Vorsitzenden des Prüfungsausschusses gestellt. § 35 Abs. 4 gilt entsprechend.</w:t>
      </w:r>
    </w:p>
    <w:p>
      <w:r>
        <w:rPr>
          <w:color w:val="555555"/>
          <w:sz w:val="17"/>
        </w:rPr>
        <w:t xml:space="preserve">Zitiervorschlag: § 37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