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RSO (Bayern) — Verbot des Wiederholens</w:t>
      </w:r>
    </w:p>
    <w:p>
      <w:r>
        <w:rPr>
          <w:color w:val="555555"/>
          <w:sz w:val="18"/>
        </w:rPr>
        <w:t xml:space="preserve">Realschulordnung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Ist das Wiederholen nach Art. 53 Abs. 3 oder Art. 55 Abs. 1 Nr. 6 BayEUG nicht zulässig, so wird dies im Jahreszeugnis eigens vermerkt.</w:t>
      </w:r>
    </w:p>
    <w:p>
      <w:r>
        <w:rPr>
          <w:color w:val="555555"/>
          <w:sz w:val="17"/>
        </w:rPr>
        <w:t xml:space="preserve">Zitiervorschlag: § 30 RSO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https://recht.nulegal.eu/gesetze/RSO/30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