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RSO (Bayern) — Vorrückungsfächer</w:t>
      </w:r>
    </w:p>
    <w:p>
      <w:r>
        <w:rPr>
          <w:color w:val="555555"/>
          <w:sz w:val="18"/>
        </w:rPr>
        <w:t xml:space="preserve">Realschulordnung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Vorrückungsfächer sind alle Pflicht- und Wahlpflichtfächer. Ausgenommen sind Textiles Gestalten, Kunst, Werken, Musik und Sport, sofern diese Fächer nicht Wahlpflichtfächer in der Wahlpflichtfächergruppe III sind.</w:t>
      </w:r>
    </w:p>
    <w:p>
      <w:r>
        <w:t xml:space="preserve">(2) An den Abendrealschulen sind alle Pflicht- und Wahlpflichtfächer Vorrückungsfächer.</w:t>
      </w:r>
    </w:p>
    <w:p>
      <w:r>
        <w:rPr>
          <w:color w:val="555555"/>
          <w:sz w:val="17"/>
        </w:rPr>
        <w:t xml:space="preserve">Zitiervorschlag: § 25 RSO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https://recht.nulegal.eu/gesetze/RSO/25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