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RSO (Bayern) — Höchstausbildungsdauer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Höchstausbildungsdauer beträgt acht Schuljahre. Für die Berechnung zählen alle an öffentlichen oder staatlich anerkannten Realschulen, Wirtschaftsschulen, Mittlere-Reife-Klassen der Mittelschulen oder Gymnasien verbrachten Schuljahre ausgenommen Flexibilisierungsjahre sowie solcher, für die eine Beurlaubung zum Schulbesuch im Ausland bestand.</w:t>
      </w:r>
    </w:p>
    <w:p>
      <w:r>
        <w:t xml:space="preserve">(2) Die Höchstausbildungsdauer gilt auch dann als überschritten, wenn feststeht, dass der Abschluss der Schule nicht mehr innerhalb der Höchstausbildungsdauer erreicht werden kann.</w:t>
      </w:r>
    </w:p>
    <w:p>
      <w:r>
        <w:t xml:space="preserve">(3) Die oder der Ministerialbeauftragte kann unter den Voraussetzungen des § 45 der Bayerischen Schulordnung Ausnahmen zulassen.</w:t>
      </w:r>
    </w:p>
    <w:p>
      <w:r>
        <w:rPr>
          <w:color w:val="555555"/>
          <w:sz w:val="17"/>
        </w:rPr>
        <w:t xml:space="preserve">Zitiervorschlag: § 15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