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RSO (Bayern) — Wahlpflichtfächergruppen – Ausbildungsrichtungen –</w:t>
      </w:r>
    </w:p>
    <w:p>
      <w:r>
        <w:rPr>
          <w:color w:val="555555"/>
          <w:sz w:val="18"/>
        </w:rPr>
        <w:t xml:space="preserve">Realschulordnung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Ausbildungsrichtungen im Sinn des Art. 9 Abs. 3 BayEUG sind die Wahlpflichtfächergruppen.</w:t>
      </w:r>
    </w:p>
    <w:p>
      <w:r>
        <w:t xml:space="preserve">(2) Die Entscheidung, welche Wahlpflichtfächergruppen geführt werden, trifft bei den staatlichen Realschulen die Schulleiterin oder der Schulleiter im Benehmen mit dem Aufwandsträger und der Lehrerkonferenz sowie im Einvernehmen mit dem Elternbeirat.</w:t>
      </w:r>
    </w:p>
    <w:p>
      <w:r>
        <w:rPr>
          <w:color w:val="555555"/>
          <w:sz w:val="17"/>
        </w:rPr>
        <w:t xml:space="preserve">Zitiervorschlag: § 13 RSO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https://recht.nulegal.eu/gesetze/RSO/13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