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RSMAusbV — Bestehende Berufsausbildungsverhältnisse</w:t>
      </w:r>
    </w:p>
    <w:p>
      <w:r>
        <w:rPr>
          <w:color w:val="555555"/>
          <w:sz w:val="18"/>
        </w:rPr>
        <w:t xml:space="preserve">Rollladen- und Sonnenschutzmechatronikerausbildungsverordnung</w:t>
      </w:r>
    </w:p>
    <w:p>
      <w:r>
        <w:rPr>
          <w:color w:val="555555"/>
          <w:sz w:val="18"/>
        </w:rPr>
        <w:t xml:space="preserve">Stand: 10.06.2019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RSMAusbV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https://recht.nulegal.eu/gesetze/RSMAusbV/17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