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RSGDV (Brandenburg)</w:t>
      </w:r>
    </w:p>
    <w:p>
      <w:r>
        <w:rPr>
          <w:color w:val="555555"/>
          <w:sz w:val="18"/>
        </w:rPr>
        <w:t xml:space="preserve">Verordnung zur Durchführung des Reichssiedlungsgesetzes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Siedlungsunternehmen im Sinne des § 1 Abs. 1 Satz 3 des</w:t>
      </w:r>
    </w:p>
    <w:p>
      <w:r>
        <w:t xml:space="preserve">Reichssiedlungsgesetzes ist die Landgesellschaft Sachsen-Anhalt mbH.</w:t>
      </w:r>
    </w:p>
    <w:p>
      <w:r>
        <w:rPr>
          <w:color w:val="555555"/>
          <w:sz w:val="17"/>
        </w:rPr>
        <w:t xml:space="preserve">Zitiervorschlag: § 2 RSGDV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