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RSGDV (Brandenburg)</w:t>
      </w:r>
    </w:p>
    <w:p>
      <w:r>
        <w:rPr>
          <w:color w:val="555555"/>
          <w:sz w:val="18"/>
        </w:rPr>
        <w:t xml:space="preserve">Verordnung zur Durchführung des Reichssiedlungsgesetzes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Siedlungsbehörden im Sinne des § 10 Abs. 1 Nr. 2 und</w:t>
      </w:r>
    </w:p>
    <w:p>
      <w:r>
        <w:t xml:space="preserve">des § 12 des Grundstückverkehrsgesetzes sowie des § 4 Abs. 5 und</w:t>
      </w:r>
    </w:p>
    <w:p>
      <w:r>
        <w:t xml:space="preserve">des § 6 Abs. 1 des Reichssiedlungsgesetzes sind die Ämter für</w:t>
      </w:r>
    </w:p>
    <w:p>
      <w:r>
        <w:t xml:space="preserve">Flurneuordnung und ländliche Entwicklung.</w:t>
      </w:r>
    </w:p>
    <w:p>
      <w:r>
        <w:rPr>
          <w:color w:val="555555"/>
          <w:sz w:val="17"/>
        </w:rPr>
        <w:t xml:space="preserve">Zitiervorschlag: § 1 RSGDV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https://recht.nulegal.eu/gesetze/RSGDV/1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