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RSGAbsEntgV — Inkrafttreten, Außerkrafttreten</w:t>
      </w:r>
    </w:p>
    <w:p>
      <w:r>
        <w:rPr>
          <w:color w:val="555555"/>
          <w:sz w:val="18"/>
        </w:rPr>
        <w:t xml:space="preserve">Verordnung über die Erhebung eines Entgelts für die staatliche Absicherung nach dem Reisesicherungsfondsgesetz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Diese Verordnung tritt am Tag nach der Verkündung in Kraft und mit Ablauf des 31. Oktober 2027 außer Kraft.</w:t>
      </w:r>
    </w:p>
    <w:p>
      <w:r>
        <w:rPr>
          <w:color w:val="555555"/>
          <w:sz w:val="17"/>
        </w:rPr>
        <w:t xml:space="preserve">Zitiervorschlag: § 4 RSGAbsEntgV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https://recht.nulegal.eu/gesetze/RSGAbsEntgV/4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