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RSGAbsEntgV — Auskunftsverlangen der Aufsichtsbehörde</w:t>
      </w:r>
    </w:p>
    <w:p>
      <w:r>
        <w:rPr>
          <w:color w:val="555555"/>
          <w:sz w:val="18"/>
        </w:rPr>
        <w:t xml:space="preserve">Verordnung über die Erhebung eines Entgelts für die staatliche Absicherung nach dem Reisesicherungsfondsgesetz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Aufsichtsbehörde kann verlangen, dass der Reisesicherungsfonds</w:t>
      </w:r>
    </w:p>
    <w:p>
      <w:pPr>
        <w:ind w:left="420"/>
      </w:pPr>
      <w:r>
        <w:t xml:space="preserve">1. die Höhe des am letzten Tag eines jeden Erhebungszeitraums erreichten Fondsvermögens nachweist, und</w:t>
      </w:r>
    </w:p>
    <w:p>
      <w:pPr>
        <w:ind w:left="420"/>
      </w:pPr>
      <w:r>
        <w:t xml:space="preserve">2. darlegt, wie sich zu diesem Zeitpunkt der Gesamtumsatz aller vom Reisesicherungsfonds abgesicherten Reiseanbieter auf die Kategorien 1 und 2 nach § 1 Absatz 4 verteilt.</w:t>
      </w:r>
    </w:p>
    <w:p>
      <w:r>
        <w:t xml:space="preserve">(2) Wird die erforderliche Gesamtabdeckung von 750 Millionen Euro erreicht, so entfällt die Befugnis nach Absatz 1 mit Wirkung für die Zukunft.</w:t>
      </w:r>
    </w:p>
    <w:p>
      <w:r>
        <w:rPr>
          <w:color w:val="555555"/>
          <w:sz w:val="17"/>
        </w:rPr>
        <w:t xml:space="preserve">Zitiervorschlag: § 2 RSGAbsEntgV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https://recht.nulegal.eu/gesetze/RSGAbsEntgV/2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