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RSG — Steuern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Entgelte im Sinne des § 7 Absatz 1 und die Gegenleistungen im Sinne des § 16 Absatz 1 Satz 2 Nummer 2 unterliegen beim Reisesicherungsfonds nicht der Körperschaftsteuer oder der Gewerbesteuer.</w:t>
      </w:r>
    </w:p>
    <w:p>
      <w:r>
        <w:t xml:space="preserve">(2) Aufwendungen des Reisesicherungsfonds dürfen den steuerlichen Gewinn nur mindern, soweit sie in einem unmittelbaren wirtschaftlichen Zusammenhang mit steuerpflichtigen Erträgen stehen.</w:t>
      </w:r>
    </w:p>
    <w:p>
      <w:r>
        <w:t xml:space="preserve">(3) Gewinne und Verluste aus der Übertragung des Fondsvermögens und des Bestands an Absicherungsverträgen auf einen anderen Rechtsträger im Sinne des § 17 Absatz 3 Satz 2 Nummer 2 bleiben steuerlich außer Ansatz, soweit das übertragene Vermögen anschließend weiterhin dem Geschäft eines Reisesicherungsfonds dient. Satz 1 gilt nicht, soweit das Besteuerungsrecht der Bundesrepublik Deutschland hinsichtlich des Gewinns aus der Veräußerung oder der Nutzung eines Wirtschaftsguts ausgeschlossen oder beschränkt wird.</w:t>
      </w:r>
    </w:p>
    <w:p>
      <w:r>
        <w:rPr>
          <w:color w:val="555555"/>
          <w:sz w:val="17"/>
        </w:rPr>
        <w:t xml:space="preserve">Zitiervorschlag: § 7a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