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RSG — Zielkapital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Reisesicherungsfonds muss in seinem Fondsvermögen über Finanzmittel verfügen, die in einem angemessenen Verhältnis zu seinen bestehenden und potenziellen Verbindlichkeiten stehen (Zielkapital). Das Zielkapital muss für alle Ausgaben nach § 3 ausreichen.</w:t>
      </w:r>
    </w:p>
    <w:p>
      <w:r>
        <w:t xml:space="preserve">(2) Das Zielkapital kann bis zu einem Viertel durch unwiderrufliche Kreditzusagen eines im Inland zum Geschäftsbetrieb befugten Kreditinstituts gebildet werden. Im Übrigen ist es aus den Entgelten der Reiseanbieter nach § 7 zu bilden.</w:t>
      </w:r>
    </w:p>
    <w:p>
      <w:r>
        <w:rPr>
          <w:color w:val="555555"/>
          <w:sz w:val="17"/>
        </w:rPr>
        <w:t xml:space="preserve">Zitiervorschlag: § 4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