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RSG — Verordnungsermächtigung</w:t>
      </w:r>
    </w:p>
    <w:p>
      <w:r>
        <w:rPr>
          <w:color w:val="555555"/>
          <w:sz w:val="18"/>
        </w:rPr>
        <w:t xml:space="preserve">Reisesicherungsfondsgesetz</w:t>
      </w:r>
    </w:p>
    <w:p>
      <w:r>
        <w:rPr>
          <w:color w:val="555555"/>
          <w:sz w:val="18"/>
        </w:rPr>
        <w:t xml:space="preserve">Stand: 01.07.2021 (konsolidierte Textfassung, kein amtliches Inkrafttretensdatum)</w:t>
      </w:r>
    </w:p>
    <w:p>
      <w:r>
        <w:t xml:space="preserve">(1) Das Bundesministerium der Justiz und für Verbraucherschutz wird ermächtigt, im Einvernehmen mit dem Bundesministerium der Finanzen und dem Bundesministerium für Wirtschaft und Energie durch Rechtsverordnung ohne Zustimmung des Bundesrates nähere Bestimmungen zu treffen über:</w:t>
      </w:r>
    </w:p>
    <w:p>
      <w:pPr>
        <w:ind w:left="420"/>
      </w:pPr>
      <w:r>
        <w:t xml:space="preserve">1. die Geschäftsorganisation des Reisesicherungsfonds (§§ 8 und 9);</w:t>
      </w:r>
    </w:p>
    <w:p>
      <w:pPr>
        <w:ind w:left="420"/>
      </w:pPr>
      <w:r>
        <w:t xml:space="preserve">2. die Voraussetzungen der Erteilung der Erlaubnis (§ 12 Absatz 1), einschließlich der für einen Erlaubnisantrag erforderlichen Angaben, Nachweise und Unterlagen;</w:t>
      </w:r>
    </w:p>
    <w:p>
      <w:pPr>
        <w:ind w:left="420"/>
      </w:pPr>
      <w:r>
        <w:t xml:space="preserve">3. die Aufgaben und Befugnisse der Aufsichtsbehörde (§§ 18 und 19), einschließlich der von ihr zu beachtenden Verfahrens- und Anwendungsvorschriften.</w:t>
      </w:r>
    </w:p>
    <w:p>
      <w:r>
        <w:t xml:space="preserve">(2) Das Bundesministerium der Justiz und für Verbraucherschutz wird ermächtigt, im Einvernehmen mit dem Bundesministerium der Finanzen und dem Bundesministerium für Wirtschaft und Energie durch Rechtsverordnung ohne Zustimmung des Bundesrates Bestimmungen zu treffen über:</w:t>
      </w:r>
    </w:p>
    <w:p>
      <w:pPr>
        <w:ind w:left="420"/>
      </w:pPr>
      <w:r>
        <w:t xml:space="preserve">1. die Verwaltung und Aufbewahrung des Fondsvermögens (§ 2 Absatz 1 Nummer 1);</w:t>
      </w:r>
    </w:p>
    <w:p>
      <w:pPr>
        <w:ind w:left="420"/>
      </w:pPr>
      <w:r>
        <w:t xml:space="preserve">2. die Definition eines Reiseanbieters mittlerer Umsatzgröße (§ 5 Absatz 1 Satz 1);</w:t>
      </w:r>
    </w:p>
    <w:p>
      <w:pPr>
        <w:ind w:left="420"/>
      </w:pPr>
      <w:r>
        <w:t xml:space="preserve">3. Prozentsätze für den Umsatz von Reiseanbietern, die bei der Sicherheitsleistung nicht unter- oder überschritten werden dürfen (§ 6 Absatz 1 Satz 1 Nummer 1);</w:t>
      </w:r>
    </w:p>
    <w:p>
      <w:pPr>
        <w:ind w:left="420"/>
      </w:pPr>
      <w:r>
        <w:t xml:space="preserve">4. die Höhe des Entgelts (§ 22 Absatz 4) und das Erhebungsverfahren.</w:t>
      </w:r>
    </w:p>
    <w:p>
      <w:r>
        <w:t xml:space="preserve">(3) Das Bundesministerium der Justiz und für Verbraucherschutz wird ermächtigt, im Einvernehmen mit dem Bundesministerium der Finanzen und dem Bundesministerium für Wirtschaft und Energie durch Rechtsverordnung ohne Zustimmung des Bundesrates die Bedingungen für die staatliche Absicherung (§ 22 Absatz 1) an die tatsächliche Entwicklung der Umsätze der Reiseanbieter, des Fondsvermögens sowie des Marktes für Sicherheiten nach § 6 Absatz 1 und 2 anzupassen. Eine Erhöhung der Sicherheitsleistung</w:t>
      </w:r>
    </w:p>
    <w:p>
      <w:pPr>
        <w:ind w:left="420"/>
      </w:pPr>
      <w:r>
        <w:t xml:space="preserve">1. vor dem 1. November 2022 oder</w:t>
      </w:r>
    </w:p>
    <w:p>
      <w:pPr>
        <w:ind w:left="420"/>
      </w:pPr>
      <w:r>
        <w:t xml:space="preserve">2. auf mehr als 7 Prozent des Umsatzes der Reiseveranstalter</w:t>
      </w:r>
    </w:p>
    <w:p>
      <w:r>
        <w:t xml:space="preserve">ist ausgeschlossen.</w:t>
      </w:r>
    </w:p>
    <w:p>
      <w:r>
        <w:t xml:space="preserve">(4) Das Bundesministerium der Justiz und für Verbraucherschutz wird ermächtigt, im Einvernehmen mit dem Bundesministerium der Finanzen und dem Bundesministerium für Wirtschaft und Energie durch Rechtsverordnung ohne Zustimmung des Bundesrates die in § 16 Absatz 2 dieses Gesetzes, § 651r Absatz 2 Satz 1 des Bürgerlichen Gesetzbuchs und Artikel 229 § 56 Absatz 1 des Einführungsgesetzes zum Bürgerlichen Gesetzbuche genannten Zeitpunkte 1. November 2021 und 31. Dezember 2021 durch spätere Zeitpunkte zu ersetzen, die jeweils bis zu drei Monate nach den gesetzlich bestimmten Zeitpunkten liegen dürfen, wenn die Erlaubnis nach § 12 nicht bis zum 1. September 2021 erteilt werden kann.</w:t>
      </w:r>
    </w:p>
    <w:p>
      <w:r>
        <w:rPr>
          <w:color w:val="555555"/>
          <w:sz w:val="17"/>
        </w:rPr>
        <w:t xml:space="preserve">Zitiervorschlag: § 23 RSG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