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RSG — Wirkung der Erlaubnis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Mit der Erteilung der Erlaubnis ist der Reisesicherungsfonds berechtigt,</w:t>
      </w:r>
    </w:p>
    <w:p>
      <w:pPr>
        <w:ind w:left="420"/>
      </w:pPr>
      <w:r>
        <w:t xml:space="preserve">1. Absicherungsverträge mit Reiseanbietern abzuschließen,</w:t>
      </w:r>
    </w:p>
    <w:p>
      <w:pPr>
        <w:ind w:left="420"/>
      </w:pPr>
      <w:r>
        <w:t xml:space="preserve">2. Einstandspflichten eines Versicherungsunternehmens oder Kreditinstituts aus einem Absicherungsvertrag mit einem Reiseanbieter zu übernehmen, die nach Beendigung des Absicherungsvertrags fortbestehen, und</w:t>
      </w:r>
    </w:p>
    <w:p>
      <w:pPr>
        <w:ind w:left="420"/>
      </w:pPr>
      <w:r>
        <w:t xml:space="preserve">3. Sicherungsscheine gemäß Artikel 252 des Einführungsgesetzes zum Bürgerlichen Gesetzbuche auszugeben.</w:t>
      </w:r>
    </w:p>
    <w:p>
      <w:r>
        <w:rPr>
          <w:color w:val="555555"/>
          <w:sz w:val="17"/>
        </w:rPr>
        <w:t xml:space="preserve">Zitiervorschlag: § 14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