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RSG — Begriffsbestimmungen</w:t>
      </w:r>
    </w:p>
    <w:p>
      <w:r>
        <w:rPr>
          <w:color w:val="555555"/>
          <w:sz w:val="18"/>
        </w:rPr>
        <w:t xml:space="preserve">Reisesicherungsfondsgesetz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Für dieses Gesetz gelten folgende Begriffsbestimmungen:</w:t>
      </w:r>
    </w:p>
    <w:p>
      <w:pPr>
        <w:ind w:left="420"/>
      </w:pPr>
      <w:r>
        <w:t xml:space="preserve">1. Reiseanbieter ist</w:t>
      </w:r>
    </w:p>
    <w:p>
      <w:pPr>
        <w:ind w:left="780"/>
      </w:pPr>
      <w:r>
        <w:t xml:space="preserve">a) ein Reiseveranstalter (§ 651a Absatz 1 des Bürgerlichen Gesetzbuchs) oder</w:t>
      </w:r>
    </w:p>
    <w:p>
      <w:pPr>
        <w:ind w:left="780"/>
      </w:pPr>
      <w:r>
        <w:t xml:space="preserve">b) ein Vermittler verbundener Reiseleistungen (§ 651w Absatz 1 des Bürgerlichen Gesetzbuchs),</w:t>
      </w:r>
    </w:p>
    <w:p>
      <w:pPr>
        <w:ind w:left="420"/>
      </w:pPr>
      <w:r>
        <w:t xml:space="preserve">2. Umsatz ist der Umsatz ohne Umsatzsteuer, den ein Reiseanbieter innerhalb eines Geschäftsjahres</w:t>
      </w:r>
    </w:p>
    <w:p>
      <w:pPr>
        <w:ind w:left="780"/>
      </w:pPr>
      <w:r>
        <w:t xml:space="preserve">a) mit Pauschalreisen erzielt, soweit sie vor ihrer Beendigung von dem Reisenden zu bezahlen sind oder die Rückbeförderung des Reisenden umfassen,</w:t>
      </w:r>
    </w:p>
    <w:p>
      <w:pPr>
        <w:ind w:left="780"/>
      </w:pPr>
      <w:r>
        <w:t xml:space="preserve">b) mit selbst zu erbringenden Reiseleistungen im Sinne des § 651w Absatz 3 Satz 1 und 2 des Bürgerlichen Gesetzbuchs erzielt, soweit sie vor ihrer vollständigen Erbringung von dem Reisenden zu bezahlen sind oder eine Rückbeförderung des Reisenden umfassen, oder</w:t>
      </w:r>
    </w:p>
    <w:p>
      <w:pPr>
        <w:ind w:left="780"/>
      </w:pPr>
      <w:r>
        <w:t xml:space="preserve">c) dadurch erzielt, dass er nach § 651w Absatz 3 Satz 1 des Bürgerlichen Gesetzbuchs für andere Unternehmer Zahlungen des Reisenden entgegennimmt, ohne dass dies zu einem Erlöschen der Entgeltforderungen der anderen Unternehmer führt,</w:t>
      </w:r>
    </w:p>
    <w:p>
      <w:pPr>
        <w:ind w:left="420"/>
      </w:pPr>
      <w:r>
        <w:t xml:space="preserve">3. Insolvenz ist die Zahlungsunfähigkeit eines Reiseanbieters einschließlich der nach § 651r Absatz 1 Satz 3 des Bürgerlichen Gesetzbuchs gleichgestellten Fälle,</w:t>
      </w:r>
    </w:p>
    <w:p>
      <w:pPr>
        <w:ind w:left="420"/>
      </w:pPr>
      <w:r>
        <w:t xml:space="preserve">4. Insolvenzrisiko ist die Eintrittswahrscheinlichkeit einer Insolvenz,</w:t>
      </w:r>
    </w:p>
    <w:p>
      <w:pPr>
        <w:ind w:left="420"/>
      </w:pPr>
      <w:r>
        <w:t xml:space="preserve">5. Schadensrisiko ist das im Insolvenzfall zu erwartende Schadensausmaß, das aus Art, Anzahl und Preis der von einem Reiseanbieter veranstalteten Pauschalreisen oder vermittelten verbundenen Reiseleistungen folgt.</w:t>
      </w:r>
    </w:p>
    <w:p>
      <w:r>
        <w:rPr>
          <w:color w:val="555555"/>
          <w:sz w:val="17"/>
        </w:rPr>
        <w:t xml:space="preserve">Zitiervorschlag: § 1 RSG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