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RSFV — Geschäftsplan</w:t>
      </w:r>
    </w:p>
    <w:p>
      <w:r>
        <w:rPr>
          <w:color w:val="555555"/>
          <w:sz w:val="18"/>
        </w:rPr>
        <w:t xml:space="preserve">Reisesicherungsfondsverordnung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(1) Der Reisesicherungsfonds erarbeitet einen Geschäftsplan, aus dem hervorgeht, wie insbesondere die folgenden gesetzlichen Aufgaben erfüllt werden sollen:</w:t>
      </w:r>
    </w:p>
    <w:p>
      <w:pPr>
        <w:ind w:left="420"/>
      </w:pPr>
      <w:r>
        <w:t xml:space="preserve">1. Bildung und Verwaltung des Fondsvermögens (§ 2 Absatz 1 Nummer 1 des Reisesicherungsfondsgesetzes),</w:t>
      </w:r>
    </w:p>
    <w:p>
      <w:pPr>
        <w:ind w:left="420"/>
      </w:pPr>
      <w:r>
        <w:t xml:space="preserve">2. Abschluss von Absicherungsverträgen (§ 2 Absatz 1 Nummer 2 des Reisesicherungsfondsgesetzes),</w:t>
      </w:r>
    </w:p>
    <w:p>
      <w:pPr>
        <w:ind w:left="420"/>
      </w:pPr>
      <w:r>
        <w:t xml:space="preserve">3. Durchführung von Absicherungsverträgen (§ 2 Absatz 1 Nummer 2 des Reisesicherungsfondsgesetzes), namentlich Abwicklung von Schäden einschließlich Repatriierung (§ 651r Absatz 1 des Bürgerlichen Gesetzbuchs).</w:t>
      </w:r>
    </w:p>
    <w:p>
      <w:r>
        <w:t xml:space="preserve">(2) Der Geschäftsplan ist jährlich durch die Geschäftsführung zu überprüfen und erforderlichenfalls anzupassen.</w:t>
      </w:r>
    </w:p>
    <w:p>
      <w:r>
        <w:rPr>
          <w:color w:val="555555"/>
          <w:sz w:val="17"/>
        </w:rPr>
        <w:t xml:space="preserve">Zitiervorschlag: § 9 RSFV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