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RSFV — Schutz sensibler Informationen</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Die Geschäftsorganisation des Reisesicherungsfonds ist so zu gestalten, dass sie eine strikte Trennung zwischen Gesellschaftern, Geschäftsführern, Mitgliedern des Beirats und Reiseanbietern gewährleistet und sensible Informationen und Geschäftsgeheimnisse nur im Rahmen des Erforderlichen ausgetauscht werden. § 51a des Gesetzes betreffend die Gesellschaften mit beschränkter Haftung bleibt unberührt.</w:t>
      </w:r>
    </w:p>
    <w:p>
      <w:r>
        <w:t xml:space="preserve">(2) Die für die Compliance-Funktion (§ 4 Absatz 1 Nummer 1) verantwortliche Person erstellt mindestens einmal jährlich einen Bericht zu den ergriffenen Maßnahmen, zu potentiellen oder aufgetretenen Schutzlücken und dazu, wie hierauf reagiert wurde.</w:t>
      </w:r>
    </w:p>
    <w:p>
      <w:r>
        <w:rPr>
          <w:color w:val="555555"/>
          <w:sz w:val="17"/>
        </w:rPr>
        <w:t xml:space="preserve">Zitiervorschlag: § 6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