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RSFV — Organisationsgrundsätze</w:t>
      </w:r>
    </w:p>
    <w:p>
      <w:r>
        <w:rPr>
          <w:color w:val="555555"/>
          <w:sz w:val="18"/>
        </w:rPr>
        <w:t xml:space="preserve">Reisesicherungsfondsverordnung</w:t>
      </w:r>
    </w:p>
    <w:p>
      <w:r>
        <w:rPr>
          <w:color w:val="555555"/>
          <w:sz w:val="18"/>
        </w:rPr>
        <w:t xml:space="preserve">Stand: 09.07.2021 (konsolidierte Textfassung, kein amtliches Inkrafttretensdatum)</w:t>
      </w:r>
    </w:p>
    <w:p>
      <w:r>
        <w:t xml:space="preserve">(1) Der Reisesicherungsfonds hat eine Organisationsstruktur, die klare und abgrenzbare Zuständigkeiten ermöglicht.</w:t>
      </w:r>
    </w:p>
    <w:p>
      <w:r>
        <w:t xml:space="preserve">(2) Der Fonds etabliert ein wirksames unternehmensinternes Kommunikationssystem.</w:t>
      </w:r>
    </w:p>
    <w:p>
      <w:r>
        <w:t xml:space="preserve">(3) Der Fonds verfügt über ein verhältnismäßiges und wirksames Risikomanagementsystem einschließlich eines Aktiv-Passiv-Managements und über ein internes Kontrollsystem. Der Aufbau von Risiken und deren Überwachung und Kontrolle sind in einer dem Risikoprofil des Reisesicherungsfonds angemessenen Weise zu trennen.</w:t>
      </w:r>
    </w:p>
    <w:p>
      <w:r>
        <w:rPr>
          <w:color w:val="555555"/>
          <w:sz w:val="17"/>
        </w:rPr>
        <w:t xml:space="preserve">Zitiervorschlag: § 3 RSFV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