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RSFV — Organisation des Beirats</w:t>
      </w:r>
    </w:p>
    <w:p>
      <w:r>
        <w:rPr>
          <w:color w:val="555555"/>
          <w:sz w:val="18"/>
        </w:rPr>
        <w:t xml:space="preserve">Reisesicherungsfondsverordnung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(1) Der Beirat bestimmt einen Vorsitzenden und einen Stellvertreter. Diese vertreten den Beirat gegenüber der Geschäftsführung.</w:t>
      </w:r>
    </w:p>
    <w:p>
      <w:r>
        <w:t xml:space="preserve">(2) Der Beirat gibt sich eine Geschäftsordnung, die auch Bestimmungen über die Einberufung und Durchführung seiner Sitzungen und die Art und Weise seiner Beschlussfassung enthält.</w:t>
      </w:r>
    </w:p>
    <w:p>
      <w:r>
        <w:rPr>
          <w:color w:val="555555"/>
          <w:sz w:val="17"/>
        </w:rPr>
        <w:t xml:space="preserve">Zitiervorschlag: § 12 RSFV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