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RSFV — Zusammensetzung des Beirats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Der Reisesicherungsfonds beruft einen aus sachkundigen und vertrauenswürdigen Personen bestehenden Beirat, der die Geschäftsführung berät und unterstützt.</w:t>
      </w:r>
    </w:p>
    <w:p>
      <w:r>
        <w:t xml:space="preserve">(2) Der Beirat hat neun bis elf Mitglieder. Der Reisesicherungsfonds fordert die jeweiligen Verbände, Organisationen und Körperschaften auf, sachkundige Personen vorzuschlagen, die folgende Interessen vertreten:</w:t>
      </w:r>
    </w:p>
    <w:p>
      <w:pPr>
        <w:ind w:left="420"/>
      </w:pPr>
      <w:r>
        <w:t xml:space="preserve">1. Interessen der größeren Reiseanbieter (ein Mitglied),</w:t>
      </w:r>
    </w:p>
    <w:p>
      <w:pPr>
        <w:ind w:left="420"/>
      </w:pPr>
      <w:r>
        <w:t xml:space="preserve">2. Interessen der kleinen und mittleren Reiseanbieter (ein Mitglied),</w:t>
      </w:r>
    </w:p>
    <w:p>
      <w:pPr>
        <w:ind w:left="420"/>
      </w:pPr>
      <w:r>
        <w:t xml:space="preserve">3. Interessen der Vermittler verbundener Reiseleistungen (ein Mitglied),</w:t>
      </w:r>
    </w:p>
    <w:p>
      <w:pPr>
        <w:ind w:left="420"/>
      </w:pPr>
      <w:r>
        <w:t xml:space="preserve">4. Interessen des Verbraucherschutzes (zwei Mitglieder),</w:t>
      </w:r>
    </w:p>
    <w:p>
      <w:pPr>
        <w:ind w:left="420"/>
      </w:pPr>
      <w:r>
        <w:t xml:space="preserve">5. Interessen der Kreditwirtschaft (ein Mitglied),</w:t>
      </w:r>
    </w:p>
    <w:p>
      <w:pPr>
        <w:ind w:left="420"/>
      </w:pPr>
      <w:r>
        <w:t xml:space="preserve">6. Interessen der Versicherungswirtschaft (ein Mitglied),</w:t>
      </w:r>
    </w:p>
    <w:p>
      <w:pPr>
        <w:ind w:left="420"/>
      </w:pPr>
      <w:r>
        <w:t xml:space="preserve">7. Interessen des Bundes (ein bis zwei Mitglieder),</w:t>
      </w:r>
    </w:p>
    <w:p>
      <w:pPr>
        <w:ind w:left="420"/>
      </w:pPr>
      <w:r>
        <w:t xml:space="preserve">8. Interessen der Länder (ein bis zwei Mitglieder).</w:t>
      </w:r>
    </w:p>
    <w:p>
      <w:r>
        <w:t xml:space="preserve">(3) Die in Absatz 2 Satz 2 Nummer 1 bis 3 genannten Mitglieder dürfen nicht gleichzeitig für einen Reiseanbieter tätig sein.</w:t>
      </w:r>
    </w:p>
    <w:p>
      <w:r>
        <w:t xml:space="preserve">(4) Die Mitglieder des Beirats werden von der Gesellschafterversammlung benannt. Ihre Amtszeit beträgt vier Jahre. Die Wiederbenennung ist möglich.</w:t>
      </w:r>
    </w:p>
    <w:p>
      <w:r>
        <w:rPr>
          <w:color w:val="555555"/>
          <w:sz w:val="17"/>
        </w:rPr>
        <w:t xml:space="preserve">Zitiervorschlag: § 10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