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RSFV — Geschäftsführung</w:t>
      </w:r>
    </w:p>
    <w:p>
      <w:r>
        <w:rPr>
          <w:color w:val="555555"/>
          <w:sz w:val="18"/>
        </w:rPr>
        <w:t xml:space="preserve">Reisesicherungsfondsverordnung</w:t>
      </w:r>
    </w:p>
    <w:p>
      <w:r>
        <w:rPr>
          <w:color w:val="555555"/>
          <w:sz w:val="18"/>
        </w:rPr>
        <w:t xml:space="preserve">Stand: 09.07.2021 (konsolidierte Textfassung, kein amtliches Inkrafttretensdatum)</w:t>
      </w:r>
    </w:p>
    <w:p>
      <w:r>
        <w:t xml:space="preserve">(1) Der Gesellschaftsvertrag regelt, dass die Geschäftsführung des Reisesicherungsfonds aus mindestens zwei Geschäftsführern besteht.</w:t>
      </w:r>
    </w:p>
    <w:p>
      <w:r>
        <w:t xml:space="preserve">(2) Die Gesellschafter dürfen nur zuverlässige und fachlich geeignete Personen zu Geschäftsführern bestellen. Die fachliche Eignung setzt berufliche Qualifikationen, Kenntnisse und Leitungserfahrungen voraus, die eine solide und umsichtige Leitung des Reisesicherungsfonds gewährleisten. Geschäftsführer dürfen nicht gleichzeitig für einen Reiseanbieter oder einen Interessenvertreter der Reisewirtschaft tätig sein.</w:t>
      </w:r>
    </w:p>
    <w:p>
      <w:r>
        <w:t xml:space="preserve">(3) Die Geschäftsführung leitet den Reisesicherungsfonds gesamtverantwortlich. Weisungsrechte der Aufsichtsbehörde bleiben unberührt.</w:t>
      </w:r>
    </w:p>
    <w:p>
      <w:r>
        <w:t xml:space="preserve">(4) Die Gesellschafterversammlung beschließt eine Geschäftsordnung. Darin sind Aufgaben und Verantwortlichkeiten der Geschäftsführer klar zu bestimmen und voneinander abzugrenzen.</w:t>
      </w:r>
    </w:p>
    <w:p>
      <w:r>
        <w:t xml:space="preserve">(5) Bei wesentlichen Entscheidungen sowie erheblichen Verfügungen über das Fondsvermögen müssen mindestens zwei Geschäftsführer zustimmen.</w:t>
      </w:r>
    </w:p>
    <w:p>
      <w:r>
        <w:t xml:space="preserve">(6) Entscheidungen der Geschäftsführung sind nachprüfbar zu dokumentieren.</w:t>
      </w:r>
    </w:p>
    <w:p>
      <w:r>
        <w:rPr>
          <w:color w:val="555555"/>
          <w:sz w:val="17"/>
        </w:rPr>
        <w:t xml:space="preserve">Zitiervorschlag: § 1 RSFV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https://recht.nulegal.eu/gesetze/RSFV/1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