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RSFAV</w:t>
      </w:r>
    </w:p>
    <w:p>
      <w:r>
        <w:rPr>
          <w:color w:val="555555"/>
          <w:sz w:val="18"/>
        </w:rPr>
        <w:t xml:space="preserve">Reisesicherungsfondsaufsichtsverordnung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Auf Grund des § 23 Absatz 1 Nummer 1 und 3 sowie Absatz 2 Nummer 1 des Reisesicherungsfondsgesetzes vom 25. Juni 2021 (BGBl. I S. 2114) verordnet das Bundesministerium der Justiz und für Verbraucherschutz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RSFAV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