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RSFAV — Grundsätze zur Anlage des Fondsvermögens</w:t>
      </w:r>
    </w:p>
    <w:p>
      <w:r>
        <w:rPr>
          <w:color w:val="555555"/>
          <w:sz w:val="18"/>
        </w:rPr>
        <w:t xml:space="preserve">Reisesicherungsfondsaufsichtsverordnung</w:t>
      </w:r>
    </w:p>
    <w:p>
      <w:r>
        <w:rPr>
          <w:color w:val="555555"/>
          <w:sz w:val="18"/>
        </w:rPr>
        <w:t xml:space="preserve">Stand: 27.10.2021 (konsolidierte Textfassung, kein amtliches Inkrafttretensdatum)</w:t>
      </w:r>
    </w:p>
    <w:p>
      <w:r>
        <w:t xml:space="preserve">Das Fondsvermögen muss risikoarm, hochliquide und ausreichend diversifiziert angelegt werden. Angestrebt wird eine möglichst große Sicherheit der Anlage bei angemessener Rentabilität.</w:t>
      </w:r>
    </w:p>
    <w:p>
      <w:r>
        <w:rPr>
          <w:color w:val="555555"/>
          <w:sz w:val="17"/>
        </w:rPr>
        <w:t xml:space="preserve">Zitiervorschlag: § 9 RSFAV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https://recht.nulegal.eu/gesetze/RSFAV/9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