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RSFAV — Nebenbestimmungen; Ausschluss der aufschiebenden Wirkung</w:t>
      </w:r>
    </w:p>
    <w:p>
      <w:r>
        <w:rPr>
          <w:color w:val="555555"/>
          <w:sz w:val="18"/>
        </w:rPr>
        <w:t xml:space="preserve">Reisesicherungsfondsaufsichtsverordnung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(1) Verwaltungsakte der Aufsichtsbehörde, die auf Grund des Reisesicherungsfondsgesetzes oder der auf dessen Grundlage erlassenen Rechtsverordnungen erlassen werden, können mit Nebenbestimmungen versehen werden.</w:t>
      </w:r>
    </w:p>
    <w:p>
      <w:r>
        <w:t xml:space="preserve">(2) Widerspruch und Anfechtungsklage gegen Maßnahmen der Aufsichtsbehörde, einschließlich der Androhung und Festsetzung von Zwangsmitteln,</w:t>
      </w:r>
    </w:p>
    <w:p>
      <w:pPr>
        <w:ind w:left="420"/>
      </w:pPr>
      <w:r>
        <w:t xml:space="preserve">1. nach § 8 Absatz 2 sowie</w:t>
      </w:r>
    </w:p>
    <w:p>
      <w:pPr>
        <w:ind w:left="420"/>
      </w:pPr>
      <w:r>
        <w:t xml:space="preserve">2. nach § 19 Absatz 1 Satz 2 des Reisesicherungsfondsgesetzes, die die Anlage des Fondsvermögens (§ 10) oder Auskunftsverlangen hierüber (§ 5) betreffen,</w:t>
      </w:r>
    </w:p>
    <w:p>
      <w:r>
        <w:t xml:space="preserve">haben keine aufschiebende Wirkung.</w:t>
      </w:r>
    </w:p>
    <w:p>
      <w:r>
        <w:rPr>
          <w:color w:val="555555"/>
          <w:sz w:val="17"/>
        </w:rPr>
        <w:t xml:space="preserve">Zitiervorschlag: § 13 RSFAV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