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RSAV — Auswahl und Anpassung des Versichertenklassifikationsmodells</w:t>
      </w:r>
    </w:p>
    <w:p>
      <w:r>
        <w:rPr>
          <w:color w:val="555555"/>
          <w:sz w:val="18"/>
        </w:rPr>
        <w:t xml:space="preserve">Risikostruktur-Ausgleichsverordnung</w:t>
      </w:r>
    </w:p>
    <w:p>
      <w:r>
        <w:rPr>
          <w:color w:val="555555"/>
          <w:sz w:val="18"/>
        </w:rPr>
        <w:t xml:space="preserve">Stand: 07.08.2021 (konsolidierte Textfassung, kein amtliches Inkrafttretensdatum)</w:t>
      </w:r>
    </w:p>
    <w:p>
      <w:r>
        <w:t xml:space="preserve">(1) Die Auswahl des Versichertenklassifikationsmodells nach § 2 Absatz 1 Satz 1 und seine Anpassung an die Gegebenheiten der gesetzlichen Krankenversicherung haben so zu erfolgen, dass keine Anreize für medizinisch nicht gerechtfertigte Leistungsausweitungen geschaffen und Anreize zur Risikoselektion vermieden werden. Das nach Satz 1 an die gesetzliche Krankenversicherung angepasste Versichertenklassifikationsmodell ist prospektiv auszugestalten.</w:t>
      </w:r>
    </w:p>
    <w:p>
      <w:r>
        <w:t xml:space="preserve">(2) Das Bundesministerium für Gesundheit bestellt auf Vorschlag des Bundesamts für Soziale Sicherung und nach Anhörung des Spitzenverbandes Bund der Krankenkassen einen wissenschaftlichen Beirat beim Bundesamt für Soziale Sicherung, der</w:t>
      </w:r>
    </w:p>
    <w:p>
      <w:pPr>
        <w:ind w:left="420"/>
      </w:pPr>
      <w:r>
        <w:t xml:space="preserve">1. unter Beachtung der Kriterien nach Absatz 1 Empfehlungen zum Verfahren der laufenden Pflege und zur Weiterentwicklung des Klassifikationsmodells gibt und</w:t>
      </w:r>
    </w:p>
    <w:p>
      <w:pPr>
        <w:ind w:left="420"/>
      </w:pPr>
      <w:r>
        <w:t xml:space="preserve">2. regelmäßig, mindestens alle vier Jahre, die Wirkungen des Risikostrukturausgleichs in einem Gutachten überprüft.</w:t>
      </w:r>
    </w:p>
    <w:p>
      <w:r>
        <w:t xml:space="preserve">(3) In den wissenschaftlichen Beirat nach Absatz 2 werden Personen berufen, die über einen besonderen Sachverstand in Bezug auf die mit der Klassifikation von Versicherten zusammenhängenden medizinischen, pharmazeutischen, pharmakologischen, klinischen, ökonomischen oder statistischen Fragen sowie in Bezug auf die Entwicklung und Pflege von Versichertenklassifikationsmodellen verfügen. Das Bundesamt für Soziale Sicherung richtet zur Unterstützung der Arbeit des wissenschaftlichen Beirats eine Geschäftsstelle ein. Das Bundesamt für Soziale Sicherung kann mit den Mitgliedern des Beirats für die Erstellung von Gutachten nach Absatz 2 Nummer 2 als Honorar eine feste Vergütung vereinbaren, die auch pauschalisiert sein kann. Die Ausgaben für die nach Satz 3 vereinbarte Vergütung werden aus den Einnahmen des Gesundheitsfonds nach § 271 des Fünften Buches Sozialgesetzbuch getragen.</w:t>
      </w:r>
    </w:p>
    <w:p>
      <w:r>
        <w:t xml:space="preserve">(4) Das Bundesamt für Soziale Sicherung legt für das Versichertenklassifikationsmodell</w:t>
      </w:r>
    </w:p>
    <w:p>
      <w:pPr>
        <w:ind w:left="420"/>
      </w:pPr>
      <w:r>
        <w:t xml:space="preserve">1. die Risikogruppen,</w:t>
      </w:r>
    </w:p>
    <w:p>
      <w:pPr>
        <w:ind w:left="420"/>
      </w:pPr>
      <w:r>
        <w:t xml:space="preserve">2. den Algorithmus für die Zuordnung der Versicherten zu den Risikogruppen,</w:t>
      </w:r>
    </w:p>
    <w:p>
      <w:pPr>
        <w:ind w:left="420"/>
      </w:pPr>
      <w:r>
        <w:t xml:space="preserve">3. die regionalen Merkmale nach § 2 Absatz 1 Satz 2 Nummer 4,</w:t>
      </w:r>
    </w:p>
    <w:p>
      <w:pPr>
        <w:ind w:left="420"/>
      </w:pPr>
      <w:r>
        <w:t xml:space="preserve">4. das Regressionsverfahren zur Ermittlung der Gewichtungsfaktoren und</w:t>
      </w:r>
    </w:p>
    <w:p>
      <w:pPr>
        <w:ind w:left="420"/>
      </w:pPr>
      <w:r>
        <w:t xml:space="preserve">5. das Berechnungsverfahren zur Ermittlung der Risikozuschläge für das folgende Ausgleichsjahr</w:t>
      </w:r>
    </w:p>
    <w:p>
      <w:r>
        <w:t xml:space="preserve">nach Anhörung des Spitzenverbandes Bund der Krankenkassen bis zum 30. September fest und gibt diese in geeigneter Weise bekannt. Es berücksichtigt dabei die Empfehlungen des wissenschaftlichen Beirats nach Absatz 2 Nummer 1. Absatz 1 gilt entsprechend. Das Bundesamt für Soziale Sicherung legt die Anzahl der regionalen Merkmale, die in das Versichertenklassifikationsmodell einbezogen werden, fest. Es wählt dabei insbesondere regionale Merkmale, die die Ausgabenstruktur der Regionen beeinflussen können. Regionale Merkmale, die sich auf die Angebotsstruktur beziehen, können dabei nicht ausgewählt werden. Für die Datengrundlage der regionalen Merkmale verwendet es öffentlich zugängliche, aktuelle, amtliche Daten und die Daten nach § 267 Absatz 1 Satz 1 des Fünften Buches Sozialgesetzbuch. Das Bundesamt für Soziale Sicherung kann im Berechnungsverfahren nach Satz 1 Nummer 5 nicht versichertenbezogen erfasste Leistungsausgaben der Krankenkassen gesondert berücksichtigen. Es kann nach Anhörung des Spitzenverbandes Bund der Krankenkassen die Festlegungen nach Satz 1 unterjährig anpassen, wenn die allgemein gültige Kodierung der Diagnosen, die Arzneimittelklassifikation oder das Gemeindeverzeichnis der statistischen Ämter des Bundes und der Länder aktualisiert wird. Die Anpassungen nach Satz 9 sind in geeigneter Weise bekannt zu geben. Die Datenmeldungen nach § 7 Absatz 1 für Versicherte im Sinne des § 2 Absatz 1 Satz 2 Nummer 5 bleiben beim Regressionsverfahren zur Ermittlung der Gewichtungsfaktoren und dem Berechnungsverfahren zur Ermittlung der Risikozuschläge nach Satz 1 unberücksichtigt. Das Bundesamt für Soziale Sicherung legt im Versichertenklassifikationsmodell das Verfahren der Umsetzung des § 266 Absatz 12 des Fünften Buches Sozialgesetzbuch im Jahresausgleich nach § 18 fest.</w:t>
      </w:r>
    </w:p>
    <w:p>
      <w:r>
        <w:t xml:space="preserve">(5) Bei Versicherten, die während des überwiegenden Teils des dem Ausgleichsjahr vorangegangenen Jahres Kostenerstattung für den Bereich der ärztlichen Versorgung nach § 13 Absatz 2 des Fünften Buches Sozialgesetzbuch oder § 53 Absatz 4 des Fünften Buches Sozialgesetzbuch gewählt haben, werden die Risikogruppen nach § 2 Absatz 1 Satz 2 Nummer 2 durch eine gesonderte Risikogruppe ersetzt; das Regressionsverfahren zur Ermittlung der Gewichtungsfaktoren und das Berechnungsverfahren zur Ermittlung der Risikozuschläge nach Absatz 4 Satz 1 sind entsprechend anzuwenden. Im Einvernehmen mit dem Spitzenverband Bund der Krankenkassen kann das Bundesamt für Soziale Sicherung innerhalb der nach Satz 2 zu bildenden Risikogruppe weitere Differenzierungen vornehmen. Sofern Versicherte sowohl der Risikogruppe nach § 2 Absatz 1 Satz 2 Nummer 5 als auch der Risikogruppe nach Satz 1 zuzuordnen sind, ist die Risikogruppe nach § 2 Absatz 1 Satz 2 Nummer 5 maßgeblich.</w:t>
      </w:r>
    </w:p>
    <w:p>
      <w:r>
        <w:t xml:space="preserve">(6) Das Bundesamt für Soziale Sicherung kann ab dem Ausgleichsjahr 2023 im Versichertenklassifikationsmodell bei den Risikogruppen nach § 2 Absatz 1 Satz 2 Nummer 5 länderübergreifende Risikogruppen bilden. Als abgerechnete Rechnungsbeträge eines Jahres nach § 269 Absatz 3 Satz 2 Nummer 2 des Fünften Buches Sozialgesetzbuch sind die im jeweiligen Berichtsjahr beim Spitzenverband Bund der Krankenkassen, Deutsche Verbindungsstelle Krankenversicherung – Ausland, eingegangenen Rechnungsbeträge zu berücksichtigen.</w:t>
      </w:r>
    </w:p>
    <w:p>
      <w:r>
        <w:rPr>
          <w:color w:val="555555"/>
          <w:sz w:val="17"/>
        </w:rPr>
        <w:t xml:space="preserve">Zitiervorschlag: § 8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