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RSAV — Aufzubringende Mittel der Krankenkassen für den Innovationsfonds</w:t>
      </w:r>
    </w:p>
    <w:p>
      <w:r>
        <w:rPr>
          <w:color w:val="555555"/>
          <w:sz w:val="18"/>
        </w:rPr>
        <w:t xml:space="preserve">Risikostruktur-Ausgleichsverordnung</w:t>
      </w:r>
    </w:p>
    <w:p>
      <w:r>
        <w:rPr>
          <w:color w:val="555555"/>
          <w:sz w:val="18"/>
        </w:rPr>
        <w:t xml:space="preserve">Außer Kraft: § 44 ist seit 05.04.2020 nicht mehr im RSAV enthalten. Angezeigt wird die letzte bekannte Fassung, Stand 10.01.2020.</w:t>
      </w:r>
    </w:p>
    <w:p>
      <w:r>
        <w:t xml:space="preserve">(1) Das Bundesversicherungsamt ermittelt für die in § 92a Absatz 3 Satz 1 des Fünften Buches Sozialgesetzbuch genannten Jahre für jede Krankenkasse für das jeweilige Jahr den von dieser zu tragenden Anteil zur Finanzierung des Innovationsfonds, indem es jeweils den sich aus § 92a Absatz 4 Satz 1 des Fünften Buches Sozialgesetzbuch für die Krankenkassen ergebenden Betrag durch die Summe der nach § 30 Absatz 1 Satz 1 Nummer 1 von den Krankenkassen übermittelten Versicherungszeiten aller Krankenkassen teilt und danach das Ergebnis mit den Versicherungszeiten der Krankenkasse vervielfacht.</w:t>
      </w:r>
    </w:p>
    <w:p>
      <w:r>
        <w:t xml:space="preserve">(2) Das Bundesversicherungsamt hat für jede Krankenkasse das Ergebnis nach Absatz 1 von den Zuweisungen an die Krankenkasse nach § 266 Absatz 1 Satz 1 des Fünften Buches Sozialgesetzbuch für das jeweilige Jahr abzusetzen. § 41 gilt entsprechend.</w:t>
      </w:r>
    </w:p>
    <w:p>
      <w:r>
        <w:rPr>
          <w:color w:val="555555"/>
          <w:sz w:val="17"/>
        </w:rPr>
        <w:t xml:space="preserve">Zitiervorschlag: § 44 RSAV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https://recht.nulegal.eu/gesetze/RSAV/44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