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RSAV — Mitgliederbezogene Veränderung der Zuweisungen</w:t>
      </w:r>
    </w:p>
    <w:p>
      <w:r>
        <w:rPr>
          <w:color w:val="555555"/>
          <w:sz w:val="18"/>
        </w:rPr>
        <w:t xml:space="preserve">Risikostruktur-Ausgleichsverordnung</w:t>
      </w:r>
    </w:p>
    <w:p>
      <w:r>
        <w:rPr>
          <w:color w:val="555555"/>
          <w:sz w:val="18"/>
        </w:rPr>
        <w:t xml:space="preserve">Außer Kraft: § 40 ist seit 05.04.2020 nicht mehr im RSAV enthalten. Angezeigt wird die letzte bekannte Fassung, Stand 10.06.2019.</w:t>
      </w:r>
    </w:p>
    <w:p>
      <w:r>
        <w:t xml:space="preserve">(1) Das Bundesversicherungsamt ermittelt für jede Krankenkasse im Voraus für ein Ausgleichsjahr auf der Grundlage der für die Festlegung des durchschnittlichen Zusatzbeitrags nach § 242a des Fünften Buches Sozialgesetzbuch maßgeblichen Werte den Betrag, um den die monatlichen Zuweisungen für jede Krankenkasse zu verändern sind, indem es</w:t>
      </w:r>
    </w:p>
    <w:p>
      <w:pPr>
        <w:ind w:left="420"/>
      </w:pPr>
      <w:r>
        <w:t xml:space="preserve">1. die Höhe der voraussichtlichen jährlichen Einnahmen des Gesundheitsfonds nach § 271 Absatz 1 des Fünften Buches Sozialgesetzbuch um die für den Aufbau der Liquiditätsreserve nach § 271 Absatz 2 des Fünften Buches Sozialgesetzbuch vorgesehenen Einnahmen, die Ausgaben nach § 39 Absatz 5, die Kosten nach § 28q Absatz 1a des Vierten Buches Sozialgesetzbuch sowie die nach § 137g Absatz 1 Satz 10 des Fünften Buches Sozialgesetzbuch für die Zulassung strukturierter Behandlungsprogramme entstehenden Vorhaltekosten bereinigt,</w:t>
      </w:r>
    </w:p>
    <w:p>
      <w:pPr>
        <w:ind w:left="420"/>
      </w:pPr>
      <w:r>
        <w:t xml:space="preserve">2. von dem Wert nach Nummer 1 die Höhe der voraussichtlichen standardisierten Leistungsausgaben nach § 266 Absatz 2 Satz 1 des Fünften Buches Sozialgesetzbuch zuzüglich der Höhe der voraussichtlichen standardisierten sonstigen Ausgaben nach § 270 des Fünften Buches Sozialgesetzbuch aller Krankenkassen, bereinigt um die auf standardisierte Leistungsausgaben sowie Verwaltungskosten entfallenden Anteile der Zuweisungen nach § 38, sofern diese Zuweisungen entsprechende Anteile enthalten, abzieht,</w:t>
      </w:r>
    </w:p>
    <w:p>
      <w:pPr>
        <w:ind w:left="420"/>
      </w:pPr>
      <w:r>
        <w:t xml:space="preserve">3. das Ergebnis nach Nummer 2 durch die voraussichtliche jahresdurchschnittliche Zahl der Mitglieder aller Krankenkassen und durch die Zahl 12 teilt und für jede Krankenkasse mit der Zahl ihrer Mitglieder, die zum Ersten eines Monats in der Monatsstatistik des Vorvormonats gemeldet ist, vervielfacht.</w:t>
      </w:r>
    </w:p>
    <w:p>
      <w:r>
        <w:t xml:space="preserve">(2) Die Bekanntmachung der vom Bundesversicherungsamt für das Folgejahr ermittelten Beträge erfolgt jährlich bis zum 15. November, die Bekanntmachung für das Jahr 2011 erfolgt bis zum 5. Januar 2011.</w:t>
      </w:r>
    </w:p>
    <w:p>
      <w:r>
        <w:t xml:space="preserve">(3) Für das Jahr 2010 ermittelt das Bundesversicherungsamt den Betrag nach Absatz 1, indem der Wert nach Absatz 1 Nummer 1 um die konjunkturbedingte Beteiligung des Bundes nach § 221a des Fünften Buches Sozialgesetzbuch in der am 1. Januar 2010 geltenden Fassung erhöht wird. Das Bundesversicherungsamt macht den nach Satz 1 ermittelten Betrag in geeigneter Form bekannt.</w:t>
      </w:r>
    </w:p>
    <w:p>
      <w:r>
        <w:rPr>
          <w:color w:val="555555"/>
          <w:sz w:val="17"/>
        </w:rPr>
        <w:t xml:space="preserve">Zitiervorschlag: § 40 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