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RSAV — Zuweisung für strukturierte Behandlungsprogramme ab 2009</w:t>
      </w:r>
    </w:p>
    <w:p>
      <w:r>
        <w:rPr>
          <w:color w:val="555555"/>
          <w:sz w:val="18"/>
        </w:rPr>
        <w:t xml:space="preserve">Risikostruktur-Ausgleichsverordnung</w:t>
      </w:r>
    </w:p>
    <w:p>
      <w:r>
        <w:rPr>
          <w:color w:val="555555"/>
          <w:sz w:val="18"/>
        </w:rPr>
        <w:t xml:space="preserve">Außer Kraft: § 38 ist seit 05.04.2020 nicht mehr im RSAV enthalten. Angezeigt wird die letzte bekannte Fassung, Stand 10.06.2019.</w:t>
      </w:r>
    </w:p>
    <w:p>
      <w:r>
        <w:t xml:space="preserve">(1) Zur Förderung der Durchführung strukturierter Behandlungsprogramme nach § 137g des Fünften Buches Sozialgesetzbuch erhalten die Krankenkassen aus dem Gesundheitsfonds Zuweisungen für jeden nach § 2 Abs. 1 Satz 3 eingeschriebenen Versicherten zur Deckung der Programmkosten für medizinisch notwendige Aufwendungen wie Dokumentations- oder Koordinationsleistungen. Hebt das Bundesversicherungsamt nach § 137g Absatz 3 des Fünften Buches Sozialgesetzbuch die Zulassung eines Programms auf, ist die Zuweisung nach Satz 1 zurückzuzahlen.</w:t>
      </w:r>
    </w:p>
    <w:p>
      <w:r>
        <w:t xml:space="preserve">(2) Der Spitzenverband Bund der Krankenkassen bestimmt die Höhe der Zuweisung nach Absatz 1 und das Nähere über das Meldeverfahren für die eingeschriebenen Versicherten. Kommt die Bestimmung nach Satz 1 nicht zu Stande, bestimmt das Bundesversicherungsamt die Höhe der Zuweisung und das Meldeverfahren. § 30 Absatz 2 bis 4 gilt entsprechend.</w:t>
      </w:r>
    </w:p>
    <w:p>
      <w:r>
        <w:rPr>
          <w:color w:val="555555"/>
          <w:sz w:val="17"/>
        </w:rPr>
        <w:t xml:space="preserve">Zitiervorschlag: § 38 RSAV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https://recht.nulegal.eu/gesetze/RSAV/38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