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33a RSAV — Folgegutachten zu Zuweisungen zur Deckung der Aufwendungen für Krankengeld und Auslandsversicherte</w:t>
      </w:r>
    </w:p>
    <w:p>
      <w:r>
        <w:rPr>
          <w:color w:val="555555"/>
          <w:sz w:val="18"/>
        </w:rPr>
        <w:t xml:space="preserve">Risikostruktur-Ausgleichsverordnung</w:t>
      </w:r>
    </w:p>
    <w:p>
      <w:r>
        <w:rPr>
          <w:color w:val="555555"/>
          <w:sz w:val="18"/>
        </w:rPr>
        <w:t xml:space="preserve">Außer Kraft: § 33a ist seit 05.04.2020 nicht mehr im RSAV enthalten. Angezeigt wird die letzte bekannte Fassung, Stand 10.06.2019.</w:t>
      </w:r>
    </w:p>
    <w:p>
      <w:r>
        <w:t xml:space="preserve">(1) Das Bundesversicherungsamt beauftragt Personen oder Personengruppen, die über besonderen Sachverstand in Bezug auf die Versichertenklassifikation nach § 31 Absatz 4 verfügen, mit der Erstellung von wissenschaftlichen Folgegutachten nach § 269 Absatz 3a des Fünften Buches Sozialgesetzbuch.</w:t>
      </w:r>
    </w:p>
    <w:p>
      <w:r>
        <w:t xml:space="preserve">(2) In den Gutachten nach Absatz 1 sollen insbesondere die in den Gutachten nach § 33 Absatz 2 entwickelten Modelle zur zielgerichteteren Ermittlung der Zuweisungen zur Deckung der Aufwendungen für Krankengeld und zur Deckung der Aufwendungen für Versicherte, die während des überwiegenden Teils des dem Ausgleichsjahr vorangegangenen Jahres ihren Wohnsitz oder gewöhnlichen Aufenthalt außerhalb des Gebiets der Bundesrepublik Deutschland hatten (Auslandsversicherte), auf Basis von Daten aller am Risikostrukturausgleich teilnehmenden Krankenkassen überprüft und zur Umsetzungsreife weiterentwickelt werden. Die Vorgaben des § 268 Absatz 1 Satz 1 Nummer 2 bis 4 des Fünften Buches Sozialgesetzbuch sind bei der Überprüfung und Weiterentwicklung der Modelle zu beachten.</w:t>
      </w:r>
    </w:p>
    <w:p>
      <w:r>
        <w:t xml:space="preserve">(3) Im Folgegutachten nach § 269 Absatz 3b des Fünften Buches Sozialgesetzbuch sollen insbesondere die im Gutachten nach § 33 Absatz 3 enthaltenen Modelle überprüft und weiterentwickelt werden, bei denen die Zuweisungen für Versicherte mit Krankengeldanspruch nach § 44 des Fünften Buches Sozialgesetzbuch auf Grundlage standardisierter Krankengeldbezugszeiten und versichertenindividuell geschätzter Krankengeldzahlbeträge ermittelt werden; bei der Standardisierung der Krankengeldbezugszeiten sind Morbiditätskriterien einzubeziehen. Darüber hinaus ist zu überprüfen, ob und inwieweit die Einbeziehung von weiteren Angaben gemäß § 269 Absatz 3b Satz 2 des Fünften Buches Sozialgesetzbuch in das Modell umsetzbar ist, ob dies zu einer Verbesserung der Zielgenauigkeit des Modells führt und ob ergänzend eine Regelung entsprechend § 41 Absatz 1 Satz 3 oder einer alternativen anteiligen Berücksichtigung der tatsächlichen Aufwendungen der Krankenkassen für das Krankengeld nach § 44 des Fünften Buches Sozialgesetzbuch erforderlich ist. Zudem ist ein gesondertes Modell zu entwickeln, in dem für jede Krankenkasse die Zuweisungen für die Aufwendungen für das Krankengeld nach § 45 des Fünften Buches Sozialgesetzbuch auf Grundlage der diesbezüglich tatsächlichen Aufwendungen der Krankenkasse zu ermitteln sind.</w:t>
      </w:r>
    </w:p>
    <w:p>
      <w:r>
        <w:t xml:space="preserve">(4) Im Folgegutachten nach § 269 Absatz 3c des Fünften Buches Sozialgesetzbuch sollen Modelle zur landesspezifischen Differenzierung der Zuweisungen für Auslandsversicherte auf Grundlage der Erkenntnisse des Gutachtens nach § 33 Absatz 4 geprüft und weiterentwickelt werden. Darüber hinaus ist zu überprüfen, ob und in welcher Form eine ergänzende Regelung entsprechend der Regelung in § 41 Absatz 1 Satz 2 erforderlich ist. Außerdem ist unter Beachtung von Absatz 2 Satz 2 zu prüfen, ob und wie alternativ ein Verfahren ausgestaltet werden kann, in dem die Zuweisungen für Auslandsversicherte für jede Krankenkasse auf der Grundlage der tatsächlichen Aufwendungen der Krankenkasse für diese Versicherten ermittelt werden.</w:t>
      </w:r>
    </w:p>
    <w:p>
      <w:r>
        <w:t xml:space="preserve">(5) Die Gutachten nach den Absätzen 3 und 4 sind dem Bundesversicherungsamt jeweils bis zum 31. Dezember 2019 zu erstatten.</w:t>
      </w:r>
    </w:p>
    <w:p>
      <w:r>
        <w:rPr>
          <w:color w:val="555555"/>
          <w:sz w:val="17"/>
        </w:rPr>
        <w:t xml:space="preserve">Zitiervorschlag: § 33a RSAV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https://recht.nulegal.eu/gesetze/RSAV/33a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