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RSAV — Versicherungszeiten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Beginn und Ende einer Versicherungszeit (Anzahl der Versichertentage) im Sinne dieser Verordnung richten sich nach den Vorschriften des Fünften Buches Sozialgesetzbuch, soweit in dieser Verordnung keine weitergehenden Anforderungen bestimmt sind.</w:t>
      </w:r>
    </w:p>
    <w:p>
      <w:r>
        <w:t xml:space="preserve">(2) Bei Versicherten nach § 10 des Fünften Buches Sozialgesetzbuch beginnt die Versicherungszeit mit dem Tag, an dem die Familienversicherung beginnt; der Zeitpunkt ist durch eine zeitnahe Meldung nach § 10 Absatz 6 des Fünften Buches Sozialgesetzbuch oder nach § 289 Satz 2 und 3 des Fünften Buches Sozialgesetzbuch zu belegen. Satz 1 gilt unbeschadet eines Leistungsanspruchs nach § 19 Absatz 2 des Fünften Buches Sozialgesetzbuch. Die Versicherungszeit nach Satz 1 endet mit dem Wegfall der Voraussetzungen oder mit dem Ausscheiden des Mitglieds aus der Mitgliedschaft.</w:t>
      </w:r>
    </w:p>
    <w:p>
      <w:r>
        <w:rPr>
          <w:color w:val="555555"/>
          <w:sz w:val="17"/>
        </w:rPr>
        <w:t xml:space="preserve">Zitiervorschlag: § 3 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