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RSAV — Grundsätze für die Weiterentwicklung des Risikostrukturausgleichs</w:t>
      </w:r>
    </w:p>
    <w:p>
      <w:r>
        <w:rPr>
          <w:color w:val="555555"/>
          <w:sz w:val="18"/>
        </w:rPr>
        <w:t xml:space="preserve">Risikostruktur-Ausgleichsverordnung</w:t>
      </w:r>
    </w:p>
    <w:p>
      <w:r>
        <w:rPr>
          <w:color w:val="555555"/>
          <w:sz w:val="18"/>
        </w:rPr>
        <w:t xml:space="preserve">Außer Kraft: § 29 ist seit 05.04.2020 nicht mehr im RSAV enthalten. Angezeigt wird die letzte bekannte Fassung, Stand 10.06.2019.</w:t>
      </w:r>
    </w:p>
    <w:p>
      <w:r>
        <w:t xml:space="preserve">Vom Berichtsjahr 2009 an sind der Versichertengruppenabgrenzung abweichend von § 2 Abs. 1 und 2 folgende Risikomerkmale zu Grunde zu legen:</w:t>
      </w:r>
    </w:p>
    <w:p>
      <w:pPr>
        <w:ind w:left="420"/>
      </w:pPr>
      <w:r>
        <w:t xml:space="preserve">1. die Morbiditätsgruppen eines vom Bundesversicherungsamt festgelegten Versichertenklassifikationsmodells, das auf der Grundlage von Diagnosen und Arzneimittelwirkstoffen Risikozuschläge ermittelt und das auf Klassifikationsmodellen aufbaut, deren Einsatzfähigkeit in der gesetzlichen Krankenversicherung wissenschaftlich untersucht und bestätigt worden ist,</w:t>
      </w:r>
    </w:p>
    <w:p>
      <w:pPr>
        <w:ind w:left="420"/>
      </w:pPr>
      <w:r>
        <w:t xml:space="preserve">2. die Minderung der Erwerbsfähigkeit nach den §§ 43 und 45 des Sechsten Buches Sozialgesetzbuch, differenziert nach Alter und Geschlecht,</w:t>
      </w:r>
    </w:p>
    <w:p>
      <w:pPr>
        <w:ind w:left="420"/>
      </w:pPr>
      <w:r>
        <w:t xml:space="preserve">3. Alters- und Geschlechtsgruppen,</w:t>
      </w:r>
    </w:p>
    <w:p>
      <w:pPr>
        <w:ind w:left="420"/>
      </w:pPr>
      <w:r>
        <w:t xml:space="preserve">4. für die Ermittlung der standardisierten Krankengeldausgaben, mit Ausnahme der Ausgaben nach § 44a des Fünften Buches Sozialgesetzbuch, die Mitgliedergruppen nach § 267 Absatz 2 Satz 2 des Fünften Buches Sozialgesetzbuch, differenziert nach Alter und Geschlecht sowie Minderung der Erwerbsfähigkeit.</w:t>
      </w:r>
    </w:p>
    <w:p>
      <w:r>
        <w:rPr>
          <w:color w:val="555555"/>
          <w:sz w:val="17"/>
        </w:rPr>
        <w:t xml:space="preserve">Zitiervorschlag: § 29 RSAV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https://recht.nulegal.eu/gesetze/RSAV/29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