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RSAV — Finanzkraftausgleich ab 1999</w:t>
      </w:r>
    </w:p>
    <w:p>
      <w:r>
        <w:rPr>
          <w:color w:val="555555"/>
          <w:sz w:val="18"/>
        </w:rPr>
        <w:t xml:space="preserve">Risikostruktur-Ausgleichsverordnung</w:t>
      </w:r>
    </w:p>
    <w:p>
      <w:r>
        <w:rPr>
          <w:color w:val="555555"/>
          <w:sz w:val="18"/>
        </w:rPr>
        <w:t xml:space="preserve">Außer Kraft: § 27a ist seit 05.04.2020 nicht mehr im RSAV enthalten. Angezeigt wird die letzte bekannte Fassung, Stand 10.06.2019.</w:t>
      </w:r>
    </w:p>
    <w:p>
      <w:r>
        <w:t xml:space="preserve">(1) Für die Feststellung der Ausgleichsansprüche und -verpflichtungen vom 1. Januar 1999 an ist abweichend von § 27 für alle Krankenkassen im gesamten Bundesgebiet ein einheitlicher Ausgleichsbedarfssatz (§ 11) auf der Grundlage der Summen der beitragspflichtigen Einnahmen (§ 8) und getrennt nach alten und neuen Ländern ermittelten Beitragsbedarfe der Krankenkassen im gesamten Bundesgebiet zugrunde zu legen. Das Bundesversicherungsamt ermittelt vom 1. Januar 1999 an die in § 19 Abs. 1 genannten Werte für die Krankenkassen und Versicherten in dem in Artikel 1 Abs. 1 des Einigungsvertrages genannten Gebiet getrennt. In den Ausgleichsbescheiden werden die Summen der Versicherungszeiten, der Beitragsbedarf, die Finanzkraft und die Höhe der Ausgleichsverpflichtung oder des Ausgleichsanspruchs für Krankenkassen, deren Zuständigkeit sich auf das Beitrittsgebiet erstreckt, getrennt ausgewiesen.</w:t>
      </w:r>
    </w:p>
    <w:p>
      <w:r>
        <w:t xml:space="preserve">(2) Zur Feststellung der Veränderungen der Finanzkraft nach § 313a des Fünften Buches Sozialgesetzbuch ist für das in Absatz 1 Satz 2 genannte Gebiet ein getrennter Ausgleichsbedarfssatz auf der Grundlage der getrennt ermittelten Summen der beitragspflichtigen Einnahmen und Beitragsbedarfe zu errechnen. Die Differenz zwischen den nach Absatz 1 und nach Satz 1 für das in Absatz 1 Satz 2 genannte Gebiet ermittelten Summen der Finanzkraft darf 1999 1,2 Milliarden Deutsche Mark nicht übersteigen; soweit dieser Betrag überschritten wird, ist die Finanzkraft aller Krankenkassen in diesem Gebiet um einen dieser Differenz entsprechenden einheitlichen Faktor zu erhöhen. Die Finanzkraft der Krankenkassen im übrigen Bundesgebiet ist um einen dieser Differenz entsprechenden einheitlichen Faktor zu verringern.</w:t>
      </w:r>
    </w:p>
    <w:p>
      <w:r>
        <w:rPr>
          <w:color w:val="555555"/>
          <w:sz w:val="17"/>
        </w:rPr>
        <w:t xml:space="preserve">Zitiervorschlag: § 27a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