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RSAV — Übergangsregelung</w:t>
      </w:r>
    </w:p>
    <w:p>
      <w:r>
        <w:rPr>
          <w:color w:val="555555"/>
          <w:sz w:val="18"/>
        </w:rPr>
        <w:t xml:space="preserve">Risikostruktur-Ausgleichsverordnung</w:t>
      </w:r>
    </w:p>
    <w:p>
      <w:r>
        <w:rPr>
          <w:color w:val="555555"/>
          <w:sz w:val="18"/>
        </w:rPr>
        <w:t xml:space="preserve">Stand: 07.08.2021 (konsolidierte Textfassung, kein amtliches Inkrafttretensdatum)</w:t>
      </w:r>
    </w:p>
    <w:p>
      <w:r>
        <w:t xml:space="preserve">(1) Nach Maßgabe des § 266 Absatz 11 Satz 1 des Fünften Buches Sozialgesetzbuch gilt für die Zuweisungen aus dem Gesundheitsfonds für die Ausgleichsjahre 2019 und 2020 insbesondere, dass</w:t>
      </w:r>
    </w:p>
    <w:p>
      <w:pPr>
        <w:ind w:left="420"/>
      </w:pPr>
      <w:r>
        <w:t xml:space="preserve">1. die Minderung der Erwerbsfähigkeit nach den §§ 43 bis 45 des Sechsten Buches Sozialgesetzbuch, differenziert nach Alter und Geschlecht, ein weiteres Risikomerkmal gemäß § 2 Absatz 1 Satz 2 ist,</w:t>
      </w:r>
    </w:p>
    <w:p>
      <w:pPr>
        <w:ind w:left="420"/>
      </w:pPr>
      <w:r>
        <w:t xml:space="preserve">2. § 31 Absatz 1 Satz 2 bis 4 und Absatz 4 in der bis zum 31. März 2020 geltenden Fassung anzuwenden ist,</w:t>
      </w:r>
    </w:p>
    <w:p>
      <w:pPr>
        <w:ind w:left="420"/>
      </w:pPr>
      <w:r>
        <w:t xml:space="preserve">3. die §§ 14, 15 Absatz 1 bis 4 und 6 Satz 1 Nummer 2, § 18 Absatz 1 Satz 4 und § 19 nicht anzuwenden sind.</w:t>
      </w:r>
    </w:p>
    <w:p>
      <w:r>
        <w:t xml:space="preserve">(2) Werden im Rahmen der Prüfung nach § 20 Absatz 1 Satz 1 die Datenmeldungen für die Ausgleichsjahre bis einschließlich 2020 geprüft, sind</w:t>
      </w:r>
    </w:p>
    <w:p>
      <w:pPr>
        <w:ind w:left="420"/>
      </w:pPr>
      <w:r>
        <w:t xml:space="preserve">1. zusätzlich die Angaben nach § 7 Absatz 1 Satz 1 Nummer 2 aus der Datenmeldung nach § 7 Absatz 4 Satz 2 Nummer 3,</w:t>
      </w:r>
    </w:p>
    <w:p>
      <w:pPr>
        <w:ind w:left="420"/>
      </w:pPr>
      <w:r>
        <w:t xml:space="preserve">2. nicht die Angaben nach § 7 Absatz 1 Satz 1 Nummer 11 und § 15 Absatz 6 Satz 1 Nummer 2</w:t>
      </w:r>
    </w:p>
    <w:p>
      <w:r>
        <w:t xml:space="preserve">zu prüfen. Die Prüfung nach § 20 Absatz 1 Satz 2 ist für die Ausgleichsjahre 2019 und 2020 nicht durchzuführen.</w:t>
      </w:r>
    </w:p>
    <w:p>
      <w:r>
        <w:t xml:space="preserve">(3) Für die Ausgleichsjahre 2020 bis 2022 gelten nach Maßgabe des § 269 Absatz 6 des Fünften Buches Sozialgesetzbuch § 8 Absatz 5 Satz 1, 5 und 6 und § 18 Absatz 1 Satz 2 in der bis zum 19. Juli 2021 geltenden Fassung.</w:t>
      </w:r>
    </w:p>
    <w:p>
      <w:r>
        <w:t xml:space="preserve">(4) Der Zuordnung der Versicherten zu Risikogruppen nach § 2 Absatz 1 Satz 2 Nummer 3 ist nach Maßgabe des § 269 Absatz 6 Satz 1 des Fünften Buches Sozialgesetzbuch für das Ausgleichsjahr 2020 das Vorliegen eines Anspruchs auf Krankengeld nach den §§ 44 und 45 des Fünften Buches Sozialgesetzbuch, differenziert nach Alter und Geschlecht sowie Minderung der Erwerbsfähigkeit zu Grunde zu legen. Bei der Zuordnung nach Satz 1 gilt § 18 Absatz 1 Satz 3 in der bis zum 19. Juli 2021 geltenden Fassung.</w:t>
      </w:r>
    </w:p>
    <w:p>
      <w:r>
        <w:t xml:space="preserve">(5) Zur Umsetzung der Vorgaben nach § 269 Absatz 2 des Fünften Buches Sozialgesetzbuch und nach § 18 Absatz 1 Satz 3 passt das Bundesamt für Soziale Sicherung unterjährig die Festlegungen nach § 8 Absatz 4 Satz 1 für das Ausgleichsjahr 2021 an.</w:t>
      </w:r>
    </w:p>
    <w:p>
      <w:r>
        <w:rPr>
          <w:color w:val="555555"/>
          <w:sz w:val="17"/>
        </w:rPr>
        <w:t xml:space="preserve">Zitiervorschlag: § 27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