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RSAV — Berechnung der Kosten für die Bescheidung von Zulassungsanträgen</w:t>
      </w:r>
    </w:p>
    <w:p>
      <w:r>
        <w:rPr>
          <w:color w:val="555555"/>
          <w:sz w:val="18"/>
        </w:rPr>
        <w:t xml:space="preserve">Risikostruktur-Ausgleichsverordnung</w:t>
      </w:r>
    </w:p>
    <w:p>
      <w:r>
        <w:rPr>
          <w:color w:val="555555"/>
          <w:sz w:val="18"/>
        </w:rPr>
        <w:t xml:space="preserve">Stand: 05.04.2020 (konsolidierte Textfassung, kein amtliches Inkrafttretensdatum)</w:t>
      </w:r>
    </w:p>
    <w:p>
      <w:r>
        <w:t xml:space="preserve">(1) Die Bescheidung eines Antrags auf Zulassung eines strukturierten Behandlungsprogramms umfasst alle Tätigkeiten, die unmittelbar durch die Bearbeitung des Antrags veranlasst sind. Der Berechnung der Gebühren sind die Personalkostensätze des Bundes einschließlich der Sachkostenpauschale zu Grunde zu legen. Die Personalkostensätze sind je Arbeitsstunde anzusetzen. Wird ein Zulassungsantrag vor der Bescheiderteilung zurückgenommen, wird der Gebührenberechnung der bis dahin angefallene Bearbeitungsaufwand zu Grunde gelegt. Auslagen sind den Gebühren in ihrer tatsächlichen Höhe hinzuzurechnen.</w:t>
      </w:r>
    </w:p>
    <w:p>
      <w:r>
        <w:t xml:space="preserve">(2) Vorhaltekosten sind die beim Bundesamt für Soziale Sicherung anfallenden notwendigen Kosten, die durch Leistungen im Zusammenhang mit der Zulassung strukturierter Behandlungsprogramme veranlasst werden, die aber nicht unmittelbar durch die Bescheiderteilung entstehen. Zur Ermittlung der Vorhaltekosten ist die Summe der für ein Ausgleichsjahr auf der Grundlage des Absatzes 1 ermittelten Personal- und Sachkosten der mit der Zulassung von strukturierten Behandlungsprogrammen befassten Mitarbeiter um die für das Ausgleichsjahr für die Bescheiderteilung berechneten Gebühren zu verringern.</w:t>
      </w:r>
    </w:p>
    <w:p>
      <w:r>
        <w:rPr>
          <w:color w:val="555555"/>
          <w:sz w:val="17"/>
        </w:rPr>
        <w:t xml:space="preserve">Zitiervorschlag: § 26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