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RSAV — Aufzubringende Mittel der Krankenkassen für den Innovationsfonds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Das Bundesamt für Soziale Sicherung ermittelt jährlich für jede Krankenkasse den von dieser zu tragenden Anteil zur Finanzierung des Innovationsfonds, indem es jeweils den sich aus § 92a Absatz 4 Satz 1 des Fünften Buches Sozialgesetzbuch für die Krankenkassen ergebenden Betrag durch die Summe der nach § 7 Absatz 1 Satz 1 Nummer 1 von den Krankenkassen übermittelten Versicherungszeiten aller Krankenkassen teilt und danach das Ergebnis mit den Versicherungszeiten der Krankenkasse vervielfacht.</w:t>
      </w:r>
    </w:p>
    <w:p>
      <w:r>
        <w:t xml:space="preserve">(2) Das Bundesamt für Soziale Sicherung hat für jede Krankenkasse das Ergebnis nach Absatz 1 von den Zuweisungen an die Krankenkasse nach § 266 Absatz 1 Satz 1 des Fünften Buches Sozialgesetzbuch für das jeweilige Jahr abzusetzen. § 18 gilt entsprechend.</w:t>
      </w:r>
    </w:p>
    <w:p>
      <w:r>
        <w:rPr>
          <w:color w:val="555555"/>
          <w:sz w:val="17"/>
        </w:rPr>
        <w:t xml:space="preserve">Zitiervorschlag: § 23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