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RSAV — Ermittlung des Korrekturbetrags nach § 273 Absatz 6 Satz 1 des Fünften Buches Sozialgesetzbuch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Das Bundesamt für Soziale Sicherung prüft nach § 273 Absatz 1 Satz 1 des Fünften Buches Sozialgesetzbuch die Datenmeldungen nach § 7 Absatz 4 Satz 2 eines Berichtsjahres.</w:t>
      </w:r>
    </w:p>
    <w:p>
      <w:r>
        <w:t xml:space="preserve">(2) Das Bundesamt für Soziale Sicherung ermittelt den Korrekturbetrag nach § 273 Absatz 6 Satz 1 des Fünften Buches Sozialgesetzbuch, indem es</w:t>
      </w:r>
    </w:p>
    <w:p>
      <w:pPr>
        <w:ind w:left="420"/>
      </w:pPr>
      <w:r>
        <w:t xml:space="preserve">1. innerhalb von drei Monaten nach Einleitung des Verfahrens zur Ermittlung des Korrekturbetrags feststellt, welche Daten rechtswidrig übermittelt wurden,</w:t>
      </w:r>
    </w:p>
    <w:p>
      <w:pPr>
        <w:ind w:left="420"/>
      </w:pPr>
      <w:r>
        <w:t xml:space="preserve">2. nach Ablauf dieser Frist durch Vergleich der letzten Datenmeldung der Krankenkasse, für die bislang kein Korrekturbetrag auf Grundlage dieser Vorschrift oder des § 39a in der bis zum 31. März 2020 geltenden Fassung ermittelt wurde, mit der rechtswidrigen Datenmeldung den Umfang der rechtswidrig übermittelten Daten schätzt,</w:t>
      </w:r>
    </w:p>
    <w:p>
      <w:pPr>
        <w:ind w:left="420"/>
      </w:pPr>
      <w:r>
        <w:t xml:space="preserve">3. auf Grundlage der Feststellung nach Nummer 1 oder der Schätzung nach Nummer 2 den Betrag ermittelt, um den die rechtswidrige Datenmeldung die Zuweisungen nach § 266 Absatz 3 des Fünften Buches Sozialgesetzbuch erhöht hat.</w:t>
      </w:r>
    </w:p>
    <w:p>
      <w:r>
        <w:t xml:space="preserve">Das Bundesamt für Soziale Sicherung kann die Schätzung nach Satz 1 Nummer 2 auf einzelne Risikogruppen nach § 2 Absatz 1 Satz 2 beschränken. Für die Ermittlung nach den Sätzen 1 und 2 kann die betroffene Krankenkasse Auskünfte und Nachweise vorlegen oder das Bundesamt für Soziale Sicherung diese verlangen. Bei der Schätzung nach Satz 1 Nummer 2 berücksichtigt das Bundesamt für Soziale Sicherung die durchschnittliche Entwicklung der prüfgegenständlichen Daten bei allen am Risikostrukturausgleich teilnehmenden Krankenkassen. Zum Ergebnis nach Satz 1 wird ein Strafzuschlag in Höhe von 25 Prozent addiert. Das Bundesamt für Soziale Sicherung macht den Korrekturbetrag durch Bescheid geltend.</w:t>
      </w:r>
    </w:p>
    <w:p>
      <w:r>
        <w:t xml:space="preserve">(3) Die Einnahmen nach dieser Vorschrift fließen in den Gesundheitsfonds und werden im nächsten Jahresausgleich bei der Ermittlung nach § 18 Absatz 2 zu dem Wert nach § 17 Absatz 2 hinzugerechnet. Das Nähere zum Verfahren nach Absatz 2 Satz 1 Nummer 2 bestimmt das Bundesamt für Soziale Sicherung im Benehmen mit dem Spitzenverband Bund der Krankenkassen.</w:t>
      </w:r>
    </w:p>
    <w:p>
      <w:r>
        <w:rPr>
          <w:color w:val="555555"/>
          <w:sz w:val="17"/>
        </w:rPr>
        <w:t xml:space="preserve">Zitiervorschlag: § 21 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