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RSAV — Risikopool</w:t>
      </w:r>
    </w:p>
    <w:p>
      <w:r>
        <w:rPr>
          <w:color w:val="555555"/>
          <w:sz w:val="18"/>
        </w:rPr>
        <w:t xml:space="preserve">Risikostruktur-Ausgleichsverordnung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Das Bundesamt für Soziale Sicherung legt jährlich den Schwellenwert für den Risikopool nach § 268 Absatz 1 Satz 3 des Fünften Buches Sozialgesetzbuch fest und gibt ihn in geeigneter Weise bekannt. Für die Festlegung nach Satz 1 berechnet das Bundesamt für Soziale Sicherung nach Vorliegen der Geschäfts- und Rechnungsergebnisse aller am Risikostrukturausgleich teilnehmenden Krankenkassen für das jeweilige abgelaufene Kalenderjahr die Veränderungsrate der im Risikopool ausgleichsfähigen Leistungsausgaben je Versicherten.</w:t>
      </w:r>
    </w:p>
    <w:p>
      <w:r>
        <w:t xml:space="preserve">(2) Das Bundesamt für Soziale Sicherung ermittelt für jede Krankenkasse die Versicherten, deren ausgleichsfähige Leistungsausgaben nach § 268 Absatz 2 des Fünften Buches Sozialgesetzbuch in einem Ausgleichsjahr bei einer Krankenkasse den Schwellenwert nach Absatz 1 übersteigen. Dabei gelten für die Ermittlung der ausgleichsfähigen Leistungsausgaben die Vorgaben des § 4 mit Ausnahme von Absatz 1 Satz 1 Nummer 3.</w:t>
      </w:r>
    </w:p>
    <w:p>
      <w:r>
        <w:t xml:space="preserve">(3) Das Bundesamt für Soziale Sicherung berechnet für jede Krankenkasse den Ausgleichsbetrag nach § 268 Absatz 1 Satz 2 des Fünften Buches Sozialgesetzbuch im Jahresausgleich nach § 18. § 18 Absatz 3 Satz 2 und 3 und Absatz 5 gilt entsprechend. Das Bundesamt für Soziale Sicherung teilt den Krankenkassen den nach Satz 1 berechneten Betrag mit. Es gibt die Höhe der insgesamt über den Risikopool verteilten Zuweisungen jährlich in geeigneter Weise bekannt.</w:t>
      </w:r>
    </w:p>
    <w:p>
      <w:r>
        <w:t xml:space="preserve">(4) Das Nähere zum Verfahren nach dieser Vorschrift bestimmt das Bundesamt für Soziale Sicherung nach Anhörung des Spitzenverbandes Bund der Krankenkassen.</w:t>
      </w:r>
    </w:p>
    <w:p>
      <w:r>
        <w:rPr>
          <w:color w:val="555555"/>
          <w:sz w:val="17"/>
        </w:rPr>
        <w:t xml:space="preserve">Zitiervorschlag: § 14 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https://recht.nulegal.eu/gesetze/RSAV/14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